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88683" w14:textId="77777777" w:rsidR="00BD1576" w:rsidRPr="00AD493B" w:rsidRDefault="00BD1576" w:rsidP="00233482">
      <w:pPr>
        <w:spacing w:after="0" w:line="240" w:lineRule="auto"/>
        <w:rPr>
          <w:rFonts w:asciiTheme="majorHAnsi" w:hAnsiTheme="majorHAnsi"/>
          <w:b/>
          <w:color w:val="1F497D" w:themeColor="text2"/>
          <w:sz w:val="28"/>
          <w:szCs w:val="28"/>
        </w:rPr>
      </w:pPr>
      <w:r w:rsidRPr="00AD493B">
        <w:rPr>
          <w:rFonts w:asciiTheme="majorHAnsi" w:hAnsiTheme="majorHAnsi"/>
          <w:b/>
          <w:color w:val="1F497D" w:themeColor="text2"/>
          <w:sz w:val="28"/>
          <w:szCs w:val="28"/>
        </w:rPr>
        <w:t>MEASURING THE IMPACT OF PUBLIC LIBRARIES:</w:t>
      </w:r>
    </w:p>
    <w:p w14:paraId="7AFD1771" w14:textId="6BB896AF" w:rsidR="00CF6B1C" w:rsidRPr="004A3A2D" w:rsidRDefault="00F15A5E" w:rsidP="00233482">
      <w:pPr>
        <w:pBdr>
          <w:bottom w:val="single" w:sz="12" w:space="1" w:color="auto"/>
        </w:pBdr>
        <w:spacing w:after="0" w:line="240" w:lineRule="auto"/>
        <w:rPr>
          <w:i/>
          <w:color w:val="1F497D" w:themeColor="text2"/>
        </w:rPr>
      </w:pPr>
      <w:r w:rsidRPr="004A3A2D">
        <w:rPr>
          <w:i/>
          <w:color w:val="1F497D" w:themeColor="text2"/>
        </w:rPr>
        <w:t>The value of collecting and using information on how public libraries change people’s lives</w:t>
      </w:r>
    </w:p>
    <w:p w14:paraId="5A7951AB" w14:textId="77777777" w:rsidR="00EE0DAD" w:rsidRPr="00A066BF" w:rsidRDefault="00EE0DAD" w:rsidP="00233482">
      <w:pPr>
        <w:pBdr>
          <w:bottom w:val="single" w:sz="12" w:space="1" w:color="auto"/>
        </w:pBdr>
        <w:spacing w:after="0" w:line="240" w:lineRule="auto"/>
        <w:rPr>
          <w:color w:val="FF0000"/>
        </w:rPr>
      </w:pPr>
    </w:p>
    <w:p w14:paraId="7B3F04A1" w14:textId="77777777" w:rsidR="00EE0DAD" w:rsidRPr="00A066BF" w:rsidRDefault="00EE0DAD" w:rsidP="00233482">
      <w:pPr>
        <w:spacing w:after="0" w:line="240" w:lineRule="auto"/>
      </w:pPr>
    </w:p>
    <w:p w14:paraId="3BA189D4" w14:textId="385DA9B1" w:rsidR="004333D9" w:rsidRPr="00AD493B" w:rsidRDefault="004333D9" w:rsidP="00A066BF">
      <w:pPr>
        <w:spacing w:after="60" w:line="240" w:lineRule="auto"/>
        <w:rPr>
          <w:rFonts w:asciiTheme="majorHAnsi" w:hAnsiTheme="majorHAnsi"/>
          <w:b/>
          <w:bCs/>
          <w:color w:val="4F81BD" w:themeColor="accent1"/>
        </w:rPr>
      </w:pPr>
      <w:r w:rsidRPr="00AD493B">
        <w:rPr>
          <w:rFonts w:asciiTheme="majorHAnsi" w:hAnsiTheme="majorHAnsi"/>
          <w:b/>
          <w:bCs/>
          <w:color w:val="4F81BD" w:themeColor="accent1"/>
        </w:rPr>
        <w:t>Public libraries connect communities to</w:t>
      </w:r>
      <w:r w:rsidR="00FC3868" w:rsidRPr="00AD493B">
        <w:rPr>
          <w:rFonts w:asciiTheme="majorHAnsi" w:hAnsiTheme="majorHAnsi"/>
          <w:b/>
          <w:bCs/>
          <w:color w:val="4F81BD" w:themeColor="accent1"/>
        </w:rPr>
        <w:t xml:space="preserve"> information and</w:t>
      </w:r>
      <w:r w:rsidRPr="00AD493B">
        <w:rPr>
          <w:rFonts w:asciiTheme="majorHAnsi" w:hAnsiTheme="majorHAnsi"/>
          <w:b/>
          <w:bCs/>
          <w:color w:val="4F81BD" w:themeColor="accent1"/>
        </w:rPr>
        <w:t xml:space="preserve"> the world </w:t>
      </w:r>
    </w:p>
    <w:p w14:paraId="51F6E298" w14:textId="6AF69670" w:rsidR="00FC3868" w:rsidRDefault="00BD1576" w:rsidP="00233482">
      <w:pPr>
        <w:spacing w:after="0" w:line="240" w:lineRule="auto"/>
      </w:pPr>
      <w:r w:rsidRPr="00A066BF">
        <w:t>Knowledge has the power to transform lives and strengthen communities.</w:t>
      </w:r>
      <w:r w:rsidR="009061A3" w:rsidRPr="00A066BF">
        <w:t xml:space="preserve"> </w:t>
      </w:r>
      <w:r w:rsidRPr="00A066BF">
        <w:t>Particularly in developing and transitioning countries, people need relevant and</w:t>
      </w:r>
      <w:r w:rsidR="00045D3A" w:rsidRPr="00A066BF">
        <w:t xml:space="preserve"> </w:t>
      </w:r>
      <w:r w:rsidRPr="00A066BF">
        <w:t xml:space="preserve">timely information to engage and compete in a dramatically changing world. </w:t>
      </w:r>
      <w:r w:rsidR="00FC3868" w:rsidRPr="00A066BF">
        <w:t>Public libraries provide communities with access</w:t>
      </w:r>
      <w:r w:rsidR="00FC3868">
        <w:t xml:space="preserve"> to this information and with support so that people can use information to meet their needs</w:t>
      </w:r>
      <w:r w:rsidR="00FC3868" w:rsidRPr="00A066BF">
        <w:t>.</w:t>
      </w:r>
      <w:r w:rsidR="00FC3868">
        <w:t xml:space="preserve">  </w:t>
      </w:r>
      <w:r w:rsidRPr="00A066BF">
        <w:t xml:space="preserve">By expanding access to </w:t>
      </w:r>
      <w:r w:rsidR="00FC3868">
        <w:t xml:space="preserve">resources such as books, computers, internet, and </w:t>
      </w:r>
      <w:r w:rsidR="00862B77">
        <w:t>W</w:t>
      </w:r>
      <w:r w:rsidR="00FC3868">
        <w:t>i</w:t>
      </w:r>
      <w:r w:rsidR="00862B77">
        <w:t>F</w:t>
      </w:r>
      <w:r w:rsidR="00FC3868">
        <w:t>i,</w:t>
      </w:r>
      <w:r w:rsidRPr="00A066BF">
        <w:t xml:space="preserve"> and</w:t>
      </w:r>
      <w:r w:rsidR="00FC3868">
        <w:t xml:space="preserve"> by</w:t>
      </w:r>
      <w:r w:rsidRPr="00A066BF">
        <w:t xml:space="preserve"> offering training on how to use</w:t>
      </w:r>
      <w:r w:rsidR="00045D3A" w:rsidRPr="00A066BF">
        <w:t xml:space="preserve"> </w:t>
      </w:r>
      <w:r w:rsidRPr="00A066BF">
        <w:t>those resources, public libraries empower people to improve their education,</w:t>
      </w:r>
      <w:r w:rsidR="00045D3A" w:rsidRPr="00A066BF">
        <w:t xml:space="preserve"> </w:t>
      </w:r>
      <w:r w:rsidRPr="00A066BF">
        <w:t>livelihood, health, and connection with their communities.</w:t>
      </w:r>
      <w:r w:rsidR="00045D3A" w:rsidRPr="00A066BF">
        <w:t xml:space="preserve"> </w:t>
      </w:r>
    </w:p>
    <w:p w14:paraId="1E308E1B" w14:textId="77777777" w:rsidR="006B50D5" w:rsidRPr="00A066BF" w:rsidRDefault="006B50D5" w:rsidP="00233482">
      <w:pPr>
        <w:spacing w:after="0" w:line="240" w:lineRule="auto"/>
      </w:pPr>
    </w:p>
    <w:p w14:paraId="47C8622C" w14:textId="77777777" w:rsidR="00BD1576" w:rsidRPr="00A066BF" w:rsidRDefault="00BD1576" w:rsidP="00A066BF">
      <w:pPr>
        <w:pStyle w:val="ListParagraph"/>
        <w:numPr>
          <w:ilvl w:val="0"/>
          <w:numId w:val="1"/>
        </w:numPr>
        <w:spacing w:line="240" w:lineRule="auto"/>
        <w:contextualSpacing w:val="0"/>
      </w:pPr>
      <w:r w:rsidRPr="00A066BF">
        <w:t xml:space="preserve">In many places, public libraries offer the </w:t>
      </w:r>
      <w:r w:rsidRPr="00A066BF">
        <w:rPr>
          <w:b/>
        </w:rPr>
        <w:t>only free public access to computers</w:t>
      </w:r>
      <w:r w:rsidR="00045D3A" w:rsidRPr="00A066BF">
        <w:rPr>
          <w:b/>
        </w:rPr>
        <w:t xml:space="preserve"> </w:t>
      </w:r>
      <w:r w:rsidRPr="00A066BF">
        <w:rPr>
          <w:b/>
        </w:rPr>
        <w:t>and the Internet</w:t>
      </w:r>
      <w:r w:rsidRPr="00A066BF">
        <w:t>. This benefit becomes increasingly important during times of</w:t>
      </w:r>
      <w:r w:rsidR="00045D3A" w:rsidRPr="00A066BF">
        <w:t xml:space="preserve"> </w:t>
      </w:r>
      <w:r w:rsidRPr="00A066BF">
        <w:t>economic and humanitarian crisis.</w:t>
      </w:r>
    </w:p>
    <w:p w14:paraId="6D6B0CF2" w14:textId="77777777" w:rsidR="00BD1576" w:rsidRPr="00A066BF" w:rsidRDefault="00BD1576" w:rsidP="00A066BF">
      <w:pPr>
        <w:pStyle w:val="ListParagraph"/>
        <w:numPr>
          <w:ilvl w:val="0"/>
          <w:numId w:val="1"/>
        </w:numPr>
        <w:spacing w:line="240" w:lineRule="auto"/>
        <w:contextualSpacing w:val="0"/>
      </w:pPr>
      <w:r w:rsidRPr="00A066BF">
        <w:t xml:space="preserve">Public libraries reach </w:t>
      </w:r>
      <w:r w:rsidRPr="00A066BF">
        <w:rPr>
          <w:b/>
        </w:rPr>
        <w:t>populations that are often marginalized or underserved</w:t>
      </w:r>
      <w:r w:rsidR="00045D3A" w:rsidRPr="00A066BF">
        <w:t xml:space="preserve"> </w:t>
      </w:r>
      <w:r w:rsidRPr="00A066BF">
        <w:t>by other institutions, such as youth, seniors, women and girls, people living in</w:t>
      </w:r>
      <w:r w:rsidR="00045D3A" w:rsidRPr="00A066BF">
        <w:t xml:space="preserve"> </w:t>
      </w:r>
      <w:r w:rsidRPr="00A066BF">
        <w:t>poverty, racial and ethnic minorities, immigrants, and the unemployed.</w:t>
      </w:r>
    </w:p>
    <w:p w14:paraId="3EDC8D62" w14:textId="77777777" w:rsidR="00BD1576" w:rsidRPr="00A066BF" w:rsidRDefault="00BD1576" w:rsidP="00A066BF">
      <w:pPr>
        <w:pStyle w:val="ListParagraph"/>
        <w:numPr>
          <w:ilvl w:val="0"/>
          <w:numId w:val="2"/>
        </w:numPr>
        <w:spacing w:line="240" w:lineRule="auto"/>
        <w:contextualSpacing w:val="0"/>
      </w:pPr>
      <w:r w:rsidRPr="00A066BF">
        <w:t xml:space="preserve">Public library users benefit from the support and guidance of </w:t>
      </w:r>
      <w:r w:rsidRPr="00A066BF">
        <w:rPr>
          <w:b/>
        </w:rPr>
        <w:t>trained library staff</w:t>
      </w:r>
      <w:r w:rsidRPr="00A066BF">
        <w:t>.</w:t>
      </w:r>
    </w:p>
    <w:p w14:paraId="2E28D0FA" w14:textId="30CC9F7F" w:rsidR="00BD1576" w:rsidRPr="00A066BF" w:rsidRDefault="00BD1576" w:rsidP="00A066BF">
      <w:pPr>
        <w:pStyle w:val="ListParagraph"/>
        <w:numPr>
          <w:ilvl w:val="0"/>
          <w:numId w:val="1"/>
        </w:numPr>
        <w:spacing w:line="240" w:lineRule="auto"/>
        <w:contextualSpacing w:val="0"/>
      </w:pPr>
      <w:r w:rsidRPr="00A066BF">
        <w:t xml:space="preserve">Public libraries are often </w:t>
      </w:r>
      <w:r w:rsidRPr="00A066BF">
        <w:rPr>
          <w:b/>
        </w:rPr>
        <w:t xml:space="preserve">known and respected </w:t>
      </w:r>
      <w:r w:rsidR="00EE195C" w:rsidRPr="00A066BF">
        <w:rPr>
          <w:b/>
        </w:rPr>
        <w:t>institutions</w:t>
      </w:r>
      <w:r w:rsidR="00EE195C">
        <w:rPr>
          <w:b/>
        </w:rPr>
        <w:t>,</w:t>
      </w:r>
      <w:r w:rsidRPr="00A066BF">
        <w:t xml:space="preserve"> created and</w:t>
      </w:r>
      <w:r w:rsidR="00045D3A" w:rsidRPr="00A066BF">
        <w:t xml:space="preserve"> </w:t>
      </w:r>
      <w:r w:rsidRPr="00A066BF">
        <w:t>maintained by governments and responsive to local needs.</w:t>
      </w:r>
    </w:p>
    <w:p w14:paraId="6EE5E1A2" w14:textId="77777777" w:rsidR="001F3BD5" w:rsidRPr="00A066BF" w:rsidRDefault="001F3BD5" w:rsidP="00233482">
      <w:pPr>
        <w:spacing w:after="0" w:line="240" w:lineRule="auto"/>
      </w:pPr>
    </w:p>
    <w:p w14:paraId="040DE364" w14:textId="77777777" w:rsidR="006A3FDD" w:rsidRPr="00AD493B" w:rsidRDefault="004333D9" w:rsidP="00A066BF">
      <w:pPr>
        <w:spacing w:after="60" w:line="240" w:lineRule="auto"/>
        <w:rPr>
          <w:rFonts w:asciiTheme="majorHAnsi" w:hAnsiTheme="majorHAnsi"/>
          <w:b/>
          <w:bCs/>
          <w:color w:val="4F81BD" w:themeColor="accent1"/>
        </w:rPr>
      </w:pPr>
      <w:r w:rsidRPr="00AD493B">
        <w:rPr>
          <w:rFonts w:asciiTheme="majorHAnsi" w:hAnsiTheme="majorHAnsi"/>
          <w:b/>
          <w:bCs/>
          <w:color w:val="4F81BD" w:themeColor="accent1"/>
        </w:rPr>
        <w:t>What is impact?</w:t>
      </w:r>
    </w:p>
    <w:p w14:paraId="23D91739" w14:textId="6668C1CE" w:rsidR="002E17A3" w:rsidRPr="00A066BF" w:rsidRDefault="002E17A3" w:rsidP="002E17A3">
      <w:pPr>
        <w:spacing w:after="0" w:line="240" w:lineRule="auto"/>
      </w:pPr>
      <w:r w:rsidRPr="00A066BF">
        <w:t xml:space="preserve">The essence of impact is change. For public libraries, impact refers to any change or effect the library has on an individual, group, or community.  Measuring impact means looking beyond the ways that the library’s technology or services have expanded – for example, the number of </w:t>
      </w:r>
      <w:r w:rsidR="00FC2E97">
        <w:t xml:space="preserve">library visitors, the number of book (or other resource) loans, the number </w:t>
      </w:r>
      <w:r w:rsidRPr="00A066BF">
        <w:t>computers installed in the library, and the number of library staff who receive formal training</w:t>
      </w:r>
      <w:r w:rsidR="003D4FF4" w:rsidRPr="00A066BF">
        <w:t xml:space="preserve"> – in order to understand</w:t>
      </w:r>
      <w:r w:rsidRPr="00A066BF">
        <w:t xml:space="preserve"> the </w:t>
      </w:r>
      <w:r w:rsidRPr="00A066BF">
        <w:rPr>
          <w:i/>
        </w:rPr>
        <w:t>difference</w:t>
      </w:r>
      <w:r w:rsidRPr="00A066BF">
        <w:t xml:space="preserve"> that these factors have made to individuals and groups.</w:t>
      </w:r>
    </w:p>
    <w:p w14:paraId="5A5C9968" w14:textId="77777777" w:rsidR="002E17A3" w:rsidRPr="00A066BF" w:rsidRDefault="002E17A3" w:rsidP="00F275E8">
      <w:pPr>
        <w:spacing w:after="0" w:line="240" w:lineRule="auto"/>
      </w:pPr>
    </w:p>
    <w:p w14:paraId="714AE220" w14:textId="6B59051F" w:rsidR="003D4FF4" w:rsidRPr="00A066BF" w:rsidRDefault="00A35253" w:rsidP="00B321CD">
      <w:r>
        <w:t>“</w:t>
      </w:r>
      <w:r w:rsidR="00B321CD">
        <w:t>I</w:t>
      </w:r>
      <w:r w:rsidR="002E17A3" w:rsidRPr="00A066BF">
        <w:t>mpact</w:t>
      </w:r>
      <w:r>
        <w:t xml:space="preserve"> assessment” is the process of</w:t>
      </w:r>
      <w:r w:rsidR="002E17A3" w:rsidRPr="00A066BF">
        <w:t xml:space="preserve"> measur</w:t>
      </w:r>
      <w:r>
        <w:t>ing</w:t>
      </w:r>
      <w:r w:rsidR="002E17A3" w:rsidRPr="00A066BF">
        <w:t xml:space="preserve"> changes that may relate to…</w:t>
      </w:r>
    </w:p>
    <w:tbl>
      <w:tblPr>
        <w:tblStyle w:val="TableGrid"/>
        <w:tblW w:w="0" w:type="auto"/>
        <w:tblLook w:val="04A0" w:firstRow="1" w:lastRow="0" w:firstColumn="1" w:lastColumn="0" w:noHBand="0" w:noVBand="1"/>
      </w:tblPr>
      <w:tblGrid>
        <w:gridCol w:w="1548"/>
        <w:gridCol w:w="270"/>
        <w:gridCol w:w="7758"/>
      </w:tblGrid>
      <w:tr w:rsidR="009F7A2A" w:rsidRPr="00A066BF" w14:paraId="6BECED59" w14:textId="77777777" w:rsidTr="00724EA3">
        <w:tc>
          <w:tcPr>
            <w:tcW w:w="1548" w:type="dxa"/>
          </w:tcPr>
          <w:p w14:paraId="60D1CD2D" w14:textId="77777777" w:rsidR="003D4FF4" w:rsidRPr="00A066BF" w:rsidRDefault="003D4FF4" w:rsidP="00F275E8">
            <w:pPr>
              <w:rPr>
                <w:b/>
              </w:rPr>
            </w:pPr>
            <w:r w:rsidRPr="00A066BF">
              <w:rPr>
                <w:b/>
              </w:rPr>
              <w:t>Knowledge and skills</w:t>
            </w:r>
          </w:p>
        </w:tc>
        <w:tc>
          <w:tcPr>
            <w:tcW w:w="270" w:type="dxa"/>
          </w:tcPr>
          <w:p w14:paraId="6BB91262" w14:textId="77777777" w:rsidR="003D4FF4" w:rsidRPr="00A066BF" w:rsidRDefault="003D4FF4" w:rsidP="003D4FF4">
            <w:pPr>
              <w:rPr>
                <w:b/>
                <w:bCs/>
              </w:rPr>
            </w:pPr>
          </w:p>
        </w:tc>
        <w:tc>
          <w:tcPr>
            <w:tcW w:w="7758" w:type="dxa"/>
          </w:tcPr>
          <w:p w14:paraId="36032E0B" w14:textId="77777777" w:rsidR="003D4FF4" w:rsidRPr="00A066BF" w:rsidRDefault="003D4FF4" w:rsidP="003D4FF4">
            <w:pPr>
              <w:rPr>
                <w:b/>
                <w:bCs/>
              </w:rPr>
            </w:pPr>
            <w:r w:rsidRPr="00A066BF">
              <w:rPr>
                <w:b/>
                <w:bCs/>
              </w:rPr>
              <w:t>Examples:</w:t>
            </w:r>
          </w:p>
          <w:p w14:paraId="2592D486" w14:textId="77777777" w:rsidR="003D4FF4" w:rsidRDefault="003D4FF4" w:rsidP="002F1A48">
            <w:pPr>
              <w:pStyle w:val="ListParagraph"/>
              <w:numPr>
                <w:ilvl w:val="0"/>
                <w:numId w:val="1"/>
              </w:numPr>
              <w:ind w:left="522"/>
            </w:pPr>
            <w:r w:rsidRPr="00A066BF">
              <w:t xml:space="preserve">Library users know how to buy and sell </w:t>
            </w:r>
            <w:r w:rsidR="009F7A2A" w:rsidRPr="00A066BF">
              <w:t>goods or apply for a job online</w:t>
            </w:r>
          </w:p>
          <w:p w14:paraId="6DCD6651" w14:textId="530B5CA7" w:rsidR="003C0C9A" w:rsidRPr="00A066BF" w:rsidRDefault="003C0C9A" w:rsidP="003C0C9A">
            <w:pPr>
              <w:pStyle w:val="ListParagraph"/>
              <w:numPr>
                <w:ilvl w:val="0"/>
                <w:numId w:val="1"/>
              </w:numPr>
              <w:ind w:left="522"/>
            </w:pPr>
            <w:r>
              <w:t xml:space="preserve">Library users have </w:t>
            </w:r>
            <w:r w:rsidRPr="003C0C9A">
              <w:t xml:space="preserve">basic computer </w:t>
            </w:r>
            <w:r>
              <w:t xml:space="preserve">and internet </w:t>
            </w:r>
            <w:r w:rsidRPr="003C0C9A">
              <w:t>skills (e.g., turning computer on/of, using a mouse</w:t>
            </w:r>
            <w:r>
              <w:t xml:space="preserve">, </w:t>
            </w:r>
            <w:r w:rsidRPr="003C0C9A">
              <w:t>navigating we</w:t>
            </w:r>
            <w:r>
              <w:t>bsites, email, online searches</w:t>
            </w:r>
            <w:r w:rsidRPr="003C0C9A">
              <w:t xml:space="preserve">) </w:t>
            </w:r>
          </w:p>
          <w:p w14:paraId="0CEFF093" w14:textId="77777777" w:rsidR="003D4FF4" w:rsidRPr="00A066BF" w:rsidRDefault="003D4FF4" w:rsidP="002F1A48">
            <w:pPr>
              <w:pStyle w:val="ListParagraph"/>
              <w:ind w:left="522"/>
            </w:pPr>
          </w:p>
        </w:tc>
      </w:tr>
      <w:tr w:rsidR="009F7A2A" w:rsidRPr="00A066BF" w14:paraId="4667459A" w14:textId="77777777" w:rsidTr="00724EA3">
        <w:tc>
          <w:tcPr>
            <w:tcW w:w="1548" w:type="dxa"/>
          </w:tcPr>
          <w:p w14:paraId="7B5A6724" w14:textId="77777777" w:rsidR="003D4FF4" w:rsidRPr="00A066BF" w:rsidRDefault="003D4FF4" w:rsidP="00F275E8">
            <w:pPr>
              <w:rPr>
                <w:b/>
              </w:rPr>
            </w:pPr>
            <w:r w:rsidRPr="00A066BF">
              <w:rPr>
                <w:b/>
              </w:rPr>
              <w:t>Attitudes and perceptions</w:t>
            </w:r>
          </w:p>
        </w:tc>
        <w:tc>
          <w:tcPr>
            <w:tcW w:w="270" w:type="dxa"/>
          </w:tcPr>
          <w:p w14:paraId="5633BB00" w14:textId="77777777" w:rsidR="003D4FF4" w:rsidRPr="00A066BF" w:rsidRDefault="003D4FF4" w:rsidP="00F275E8"/>
        </w:tc>
        <w:tc>
          <w:tcPr>
            <w:tcW w:w="7758" w:type="dxa"/>
          </w:tcPr>
          <w:p w14:paraId="1999D0A2" w14:textId="77777777" w:rsidR="003D4FF4" w:rsidRPr="00A066BF" w:rsidRDefault="003D4FF4" w:rsidP="003D4FF4">
            <w:pPr>
              <w:rPr>
                <w:b/>
                <w:bCs/>
              </w:rPr>
            </w:pPr>
            <w:r w:rsidRPr="00A066BF">
              <w:rPr>
                <w:b/>
                <w:bCs/>
              </w:rPr>
              <w:t>Examples:</w:t>
            </w:r>
          </w:p>
          <w:p w14:paraId="3CE5A454" w14:textId="77777777" w:rsidR="003D4FF4" w:rsidRPr="00A066BF" w:rsidRDefault="003D4FF4" w:rsidP="002F1A48">
            <w:pPr>
              <w:pStyle w:val="ListParagraph"/>
              <w:numPr>
                <w:ilvl w:val="0"/>
                <w:numId w:val="8"/>
              </w:numPr>
              <w:ind w:left="522"/>
            </w:pPr>
            <w:r w:rsidRPr="00A066BF">
              <w:t xml:space="preserve">Library users perceive that library computer and Internet access is of benefit </w:t>
            </w:r>
            <w:r w:rsidR="009F7A2A" w:rsidRPr="00A066BF">
              <w:t>to the community</w:t>
            </w:r>
          </w:p>
          <w:p w14:paraId="1AF43D4C" w14:textId="39D35818" w:rsidR="00EA430A" w:rsidRPr="00A066BF" w:rsidRDefault="003D4FF4" w:rsidP="00EA430A">
            <w:pPr>
              <w:pStyle w:val="ListParagraph"/>
              <w:numPr>
                <w:ilvl w:val="0"/>
                <w:numId w:val="8"/>
              </w:numPr>
              <w:ind w:left="522"/>
            </w:pPr>
            <w:r w:rsidRPr="00A066BF">
              <w:t xml:space="preserve">Library users are more confident about their ability to find jobs/get government </w:t>
            </w:r>
            <w:r w:rsidR="009F7A2A" w:rsidRPr="00A066BF">
              <w:t>benefits</w:t>
            </w:r>
          </w:p>
          <w:p w14:paraId="6F4BB4E2" w14:textId="77777777" w:rsidR="003D4FF4" w:rsidRPr="00A066BF" w:rsidRDefault="003D4FF4" w:rsidP="003D4FF4"/>
        </w:tc>
      </w:tr>
      <w:tr w:rsidR="009F7A2A" w:rsidRPr="00A066BF" w14:paraId="792956D2" w14:textId="77777777" w:rsidTr="00724EA3">
        <w:tc>
          <w:tcPr>
            <w:tcW w:w="1548" w:type="dxa"/>
          </w:tcPr>
          <w:p w14:paraId="1641D9EA" w14:textId="77777777" w:rsidR="008034FF" w:rsidRDefault="008034FF" w:rsidP="00F275E8">
            <w:pPr>
              <w:rPr>
                <w:b/>
              </w:rPr>
            </w:pPr>
          </w:p>
          <w:p w14:paraId="02E5F665" w14:textId="77777777" w:rsidR="003D4FF4" w:rsidRPr="00A066BF" w:rsidRDefault="003D4FF4" w:rsidP="00F275E8">
            <w:pPr>
              <w:rPr>
                <w:b/>
              </w:rPr>
            </w:pPr>
            <w:r w:rsidRPr="00A066BF">
              <w:rPr>
                <w:b/>
              </w:rPr>
              <w:lastRenderedPageBreak/>
              <w:t>Behavior</w:t>
            </w:r>
          </w:p>
        </w:tc>
        <w:tc>
          <w:tcPr>
            <w:tcW w:w="270" w:type="dxa"/>
          </w:tcPr>
          <w:p w14:paraId="4B2A452D" w14:textId="77777777" w:rsidR="003D4FF4" w:rsidRPr="00A066BF" w:rsidRDefault="003D4FF4" w:rsidP="00F275E8"/>
        </w:tc>
        <w:tc>
          <w:tcPr>
            <w:tcW w:w="7758" w:type="dxa"/>
          </w:tcPr>
          <w:p w14:paraId="7751991B" w14:textId="77777777" w:rsidR="008034FF" w:rsidRDefault="008034FF" w:rsidP="003D4FF4">
            <w:pPr>
              <w:rPr>
                <w:b/>
                <w:bCs/>
              </w:rPr>
            </w:pPr>
          </w:p>
          <w:p w14:paraId="2FACA9F1" w14:textId="77777777" w:rsidR="003D4FF4" w:rsidRPr="00A066BF" w:rsidRDefault="003D4FF4" w:rsidP="003D4FF4">
            <w:pPr>
              <w:rPr>
                <w:b/>
                <w:bCs/>
              </w:rPr>
            </w:pPr>
            <w:r w:rsidRPr="00A066BF">
              <w:rPr>
                <w:b/>
                <w:bCs/>
              </w:rPr>
              <w:lastRenderedPageBreak/>
              <w:t>Examples:</w:t>
            </w:r>
          </w:p>
          <w:p w14:paraId="0E003DD3" w14:textId="77777777" w:rsidR="003D4FF4" w:rsidRPr="00A066BF" w:rsidRDefault="003D4FF4" w:rsidP="002F1A48">
            <w:pPr>
              <w:pStyle w:val="ListParagraph"/>
              <w:numPr>
                <w:ilvl w:val="0"/>
                <w:numId w:val="9"/>
              </w:numPr>
              <w:ind w:left="522"/>
            </w:pPr>
            <w:r w:rsidRPr="00A066BF">
              <w:t>People visit the library to access e-government services, like paying taxes, securing ben</w:t>
            </w:r>
            <w:r w:rsidR="009F7A2A" w:rsidRPr="00A066BF">
              <w:t>efits, or applying for licenses</w:t>
            </w:r>
          </w:p>
          <w:p w14:paraId="3A506EC4" w14:textId="77777777" w:rsidR="003D4FF4" w:rsidRPr="00A066BF" w:rsidRDefault="003D4FF4" w:rsidP="002F1A48">
            <w:pPr>
              <w:pStyle w:val="ListParagraph"/>
              <w:numPr>
                <w:ilvl w:val="0"/>
                <w:numId w:val="9"/>
              </w:numPr>
              <w:ind w:left="522"/>
            </w:pPr>
            <w:r w:rsidRPr="00A066BF">
              <w:t xml:space="preserve">Library users use library computer and Internet access to enroll in online </w:t>
            </w:r>
            <w:r w:rsidR="009F7A2A" w:rsidRPr="00A066BF">
              <w:t>courses/seek new qualifications</w:t>
            </w:r>
          </w:p>
          <w:p w14:paraId="3AB62800" w14:textId="77777777" w:rsidR="003D4FF4" w:rsidRPr="00A066BF" w:rsidRDefault="003D4FF4" w:rsidP="003D4FF4"/>
        </w:tc>
      </w:tr>
      <w:tr w:rsidR="009F7A2A" w:rsidRPr="00A066BF" w14:paraId="186C8455" w14:textId="77777777" w:rsidTr="00724EA3">
        <w:tc>
          <w:tcPr>
            <w:tcW w:w="1548" w:type="dxa"/>
          </w:tcPr>
          <w:p w14:paraId="41F4B9CA" w14:textId="77777777" w:rsidR="003D4FF4" w:rsidRPr="00A066BF" w:rsidRDefault="003D4FF4" w:rsidP="00F275E8">
            <w:pPr>
              <w:rPr>
                <w:b/>
              </w:rPr>
            </w:pPr>
            <w:r w:rsidRPr="00A066BF">
              <w:rPr>
                <w:b/>
              </w:rPr>
              <w:lastRenderedPageBreak/>
              <w:t>Quality of life</w:t>
            </w:r>
          </w:p>
        </w:tc>
        <w:tc>
          <w:tcPr>
            <w:tcW w:w="270" w:type="dxa"/>
          </w:tcPr>
          <w:p w14:paraId="64884BD4" w14:textId="77777777" w:rsidR="003D4FF4" w:rsidRPr="00A066BF" w:rsidRDefault="003D4FF4" w:rsidP="00F275E8"/>
        </w:tc>
        <w:tc>
          <w:tcPr>
            <w:tcW w:w="7758" w:type="dxa"/>
          </w:tcPr>
          <w:p w14:paraId="5BD1EEDD" w14:textId="77777777" w:rsidR="003D4FF4" w:rsidRPr="00A066BF" w:rsidRDefault="003D4FF4" w:rsidP="003D4FF4">
            <w:pPr>
              <w:rPr>
                <w:b/>
                <w:bCs/>
              </w:rPr>
            </w:pPr>
            <w:r w:rsidRPr="00A066BF">
              <w:rPr>
                <w:b/>
                <w:bCs/>
              </w:rPr>
              <w:t>Examples:</w:t>
            </w:r>
          </w:p>
          <w:p w14:paraId="1FC56EE0" w14:textId="77777777" w:rsidR="003D4FF4" w:rsidRDefault="003D4FF4" w:rsidP="002F1A48">
            <w:pPr>
              <w:pStyle w:val="ListParagraph"/>
              <w:numPr>
                <w:ilvl w:val="0"/>
                <w:numId w:val="10"/>
              </w:numPr>
              <w:ind w:left="522"/>
            </w:pPr>
            <w:r w:rsidRPr="00A066BF">
              <w:t xml:space="preserve">People use library information and support to make positive </w:t>
            </w:r>
            <w:r w:rsidR="009F7A2A" w:rsidRPr="00A066BF">
              <w:t>changes to their health</w:t>
            </w:r>
          </w:p>
          <w:p w14:paraId="7BE7714C" w14:textId="78F275FB" w:rsidR="00EA430A" w:rsidRPr="00A066BF" w:rsidRDefault="00EA430A" w:rsidP="002F1A48">
            <w:pPr>
              <w:pStyle w:val="ListParagraph"/>
              <w:numPr>
                <w:ilvl w:val="0"/>
                <w:numId w:val="10"/>
              </w:numPr>
              <w:ind w:left="522"/>
            </w:pPr>
            <w:r>
              <w:t>People are more engaged in their communities</w:t>
            </w:r>
          </w:p>
          <w:p w14:paraId="743B5200" w14:textId="77777777" w:rsidR="003D4FF4" w:rsidRPr="00A066BF" w:rsidRDefault="009F7A2A" w:rsidP="002F1A48">
            <w:pPr>
              <w:pStyle w:val="ListParagraph"/>
              <w:numPr>
                <w:ilvl w:val="0"/>
                <w:numId w:val="10"/>
              </w:numPr>
              <w:ind w:left="522"/>
            </w:pPr>
            <w:r w:rsidRPr="00A066BF">
              <w:t>People save time and money</w:t>
            </w:r>
          </w:p>
          <w:p w14:paraId="22C5C6E8" w14:textId="77777777" w:rsidR="003D4FF4" w:rsidRPr="00A066BF" w:rsidRDefault="003D4FF4" w:rsidP="003D4FF4"/>
        </w:tc>
      </w:tr>
      <w:tr w:rsidR="009F7A2A" w:rsidRPr="00A066BF" w14:paraId="4846450C" w14:textId="77777777" w:rsidTr="00724EA3">
        <w:tc>
          <w:tcPr>
            <w:tcW w:w="1548" w:type="dxa"/>
          </w:tcPr>
          <w:p w14:paraId="161D6063" w14:textId="77777777" w:rsidR="003D4FF4" w:rsidRPr="00A066BF" w:rsidRDefault="003D4FF4" w:rsidP="00F275E8">
            <w:pPr>
              <w:rPr>
                <w:b/>
              </w:rPr>
            </w:pPr>
            <w:r w:rsidRPr="00A066BF">
              <w:rPr>
                <w:b/>
              </w:rPr>
              <w:t>Broader social or economic change</w:t>
            </w:r>
          </w:p>
        </w:tc>
        <w:tc>
          <w:tcPr>
            <w:tcW w:w="270" w:type="dxa"/>
          </w:tcPr>
          <w:p w14:paraId="00076F97" w14:textId="77777777" w:rsidR="003D4FF4" w:rsidRPr="00A066BF" w:rsidRDefault="003D4FF4" w:rsidP="00F275E8"/>
        </w:tc>
        <w:tc>
          <w:tcPr>
            <w:tcW w:w="7758" w:type="dxa"/>
          </w:tcPr>
          <w:p w14:paraId="38509B1E" w14:textId="77777777" w:rsidR="003D4FF4" w:rsidRPr="00A066BF" w:rsidRDefault="003D4FF4" w:rsidP="003D4FF4">
            <w:pPr>
              <w:rPr>
                <w:b/>
                <w:bCs/>
              </w:rPr>
            </w:pPr>
            <w:r w:rsidRPr="00A066BF">
              <w:rPr>
                <w:b/>
                <w:bCs/>
              </w:rPr>
              <w:t>Examples:</w:t>
            </w:r>
          </w:p>
          <w:p w14:paraId="0B367241" w14:textId="77777777" w:rsidR="00A04013" w:rsidRDefault="00A04013" w:rsidP="002F1A48">
            <w:pPr>
              <w:pStyle w:val="ListParagraph"/>
              <w:numPr>
                <w:ilvl w:val="0"/>
                <w:numId w:val="11"/>
              </w:numPr>
              <w:ind w:left="522"/>
            </w:pPr>
            <w:r>
              <w:t>People have equal access to technology and information</w:t>
            </w:r>
            <w:r w:rsidRPr="00A066BF">
              <w:t xml:space="preserve"> </w:t>
            </w:r>
          </w:p>
          <w:p w14:paraId="075BAEA3" w14:textId="42C9E37B" w:rsidR="003D4FF4" w:rsidRPr="00A066BF" w:rsidRDefault="003D4FF4" w:rsidP="002F1A48">
            <w:pPr>
              <w:pStyle w:val="ListParagraph"/>
              <w:numPr>
                <w:ilvl w:val="0"/>
                <w:numId w:val="11"/>
              </w:numPr>
              <w:ind w:left="522"/>
            </w:pPr>
            <w:r w:rsidRPr="00A066BF">
              <w:t xml:space="preserve">Better integration of “hard-to-reach” groups in the local community (social </w:t>
            </w:r>
            <w:r w:rsidR="009F7A2A" w:rsidRPr="00A066BF">
              <w:t>inclusion)</w:t>
            </w:r>
          </w:p>
          <w:p w14:paraId="41FDFFAC" w14:textId="203B165E" w:rsidR="003D4FF4" w:rsidRPr="00A066BF" w:rsidRDefault="009F7A2A" w:rsidP="00A04013">
            <w:pPr>
              <w:pStyle w:val="ListParagraph"/>
              <w:numPr>
                <w:ilvl w:val="0"/>
                <w:numId w:val="11"/>
              </w:numPr>
              <w:ind w:left="522"/>
            </w:pPr>
            <w:r w:rsidRPr="00A066BF">
              <w:t>Lower unemployment</w:t>
            </w:r>
          </w:p>
        </w:tc>
      </w:tr>
    </w:tbl>
    <w:p w14:paraId="4AD3B5D9" w14:textId="77777777" w:rsidR="002E17A3" w:rsidRPr="00A066BF" w:rsidRDefault="002E17A3" w:rsidP="00F275E8">
      <w:pPr>
        <w:spacing w:after="0" w:line="240" w:lineRule="auto"/>
      </w:pPr>
    </w:p>
    <w:p w14:paraId="36F43387" w14:textId="110276C5" w:rsidR="00B466B0" w:rsidRDefault="00B466B0" w:rsidP="00B466B0">
      <w:pPr>
        <w:spacing w:after="0" w:line="240" w:lineRule="auto"/>
      </w:pPr>
      <w:r w:rsidRPr="00A066BF">
        <w:t>While broad social or economic change is often the end goal for public libraries</w:t>
      </w:r>
      <w:r w:rsidR="009C1B65">
        <w:t xml:space="preserve"> (which they contribute to along with the contributions of many others)</w:t>
      </w:r>
      <w:r w:rsidRPr="00A066BF">
        <w:t xml:space="preserve">, aiming for a balance of </w:t>
      </w:r>
      <w:r w:rsidR="00EA430A">
        <w:t>both long-term and short-term</w:t>
      </w:r>
      <w:r w:rsidRPr="00A066BF">
        <w:t xml:space="preserve"> impact is also important. Short-term impacts demonstrate momentum, help to motivate people, illustrate that current efforts are on target, and </w:t>
      </w:r>
      <w:r w:rsidR="00C45E1A">
        <w:t xml:space="preserve">often have a ripple effect, </w:t>
      </w:r>
      <w:r w:rsidRPr="00A066BF">
        <w:t>enabl</w:t>
      </w:r>
      <w:r w:rsidR="00C45E1A">
        <w:t>ing</w:t>
      </w:r>
      <w:r w:rsidRPr="00A066BF">
        <w:t xml:space="preserve"> libraries to build toward the ultimate impact goals.</w:t>
      </w:r>
      <w:r w:rsidR="009C1B65">
        <w:t xml:space="preserve">  These ultimate impacts are significant for society and they are central to the work of government.  As a result, libraries that demonstrate they are contributing to these impacts are more highly valued and recognized by government. </w:t>
      </w:r>
    </w:p>
    <w:p w14:paraId="51841B24" w14:textId="77777777" w:rsidR="00BF1875" w:rsidRDefault="00BF1875" w:rsidP="00106B51">
      <w:pPr>
        <w:spacing w:after="0" w:line="240" w:lineRule="auto"/>
        <w:rPr>
          <w:i/>
        </w:rPr>
      </w:pPr>
    </w:p>
    <w:p w14:paraId="7979078A" w14:textId="24EC0C42" w:rsidR="00BF1875" w:rsidRDefault="00BF1875" w:rsidP="00BF1875">
      <w:pPr>
        <w:spacing w:after="0" w:line="240" w:lineRule="auto"/>
        <w:jc w:val="center"/>
        <w:rPr>
          <w:i/>
        </w:rPr>
      </w:pPr>
      <w:r w:rsidRPr="00BF1875">
        <w:rPr>
          <w:i/>
        </w:rPr>
        <w:t>The ripple effect: short-term impacts can lead to broader social or economic change</w:t>
      </w:r>
    </w:p>
    <w:p w14:paraId="52149468" w14:textId="77777777" w:rsidR="00BF1875" w:rsidRDefault="00BF1875" w:rsidP="00BF1875">
      <w:pPr>
        <w:spacing w:after="0" w:line="240" w:lineRule="auto"/>
        <w:jc w:val="center"/>
        <w:rPr>
          <w:i/>
        </w:rPr>
      </w:pPr>
    </w:p>
    <w:p w14:paraId="522DDA9E" w14:textId="77777777" w:rsidR="00007257" w:rsidRPr="00BF1875" w:rsidRDefault="00007257" w:rsidP="00BF1875">
      <w:pPr>
        <w:spacing w:after="0" w:line="240" w:lineRule="auto"/>
        <w:jc w:val="center"/>
        <w:rPr>
          <w:i/>
        </w:rPr>
      </w:pPr>
    </w:p>
    <w:p w14:paraId="22C6D7CA" w14:textId="16046239" w:rsidR="00C45E1A" w:rsidRPr="00A066BF" w:rsidRDefault="00C45E1A" w:rsidP="00C45E1A">
      <w:pPr>
        <w:spacing w:after="0" w:line="240" w:lineRule="auto"/>
        <w:jc w:val="center"/>
      </w:pPr>
      <w:r>
        <w:rPr>
          <w:noProof/>
        </w:rPr>
        <w:drawing>
          <wp:inline distT="0" distB="0" distL="0" distR="0" wp14:anchorId="703F41C7" wp14:editId="238F841D">
            <wp:extent cx="2838450" cy="281408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2412" cy="2818010"/>
                    </a:xfrm>
                    <a:prstGeom prst="rect">
                      <a:avLst/>
                    </a:prstGeom>
                    <a:noFill/>
                  </pic:spPr>
                </pic:pic>
              </a:graphicData>
            </a:graphic>
          </wp:inline>
        </w:drawing>
      </w:r>
    </w:p>
    <w:p w14:paraId="516998E2" w14:textId="77777777" w:rsidR="00B466B0" w:rsidRDefault="00B466B0" w:rsidP="00F275E8">
      <w:pPr>
        <w:spacing w:after="0" w:line="240" w:lineRule="auto"/>
      </w:pPr>
    </w:p>
    <w:p w14:paraId="4428CF6B" w14:textId="77777777" w:rsidR="00007257" w:rsidRPr="00A066BF" w:rsidRDefault="00007257" w:rsidP="00F275E8">
      <w:pPr>
        <w:spacing w:after="0" w:line="240" w:lineRule="auto"/>
      </w:pPr>
    </w:p>
    <w:p w14:paraId="5B1B03F2" w14:textId="77777777" w:rsidR="008604C0" w:rsidRPr="00AD493B" w:rsidRDefault="008604C0" w:rsidP="00A066BF">
      <w:pPr>
        <w:spacing w:after="60" w:line="240" w:lineRule="auto"/>
        <w:rPr>
          <w:rFonts w:asciiTheme="majorHAnsi" w:hAnsiTheme="majorHAnsi"/>
          <w:b/>
          <w:color w:val="4F81BD" w:themeColor="accent1"/>
        </w:rPr>
      </w:pPr>
      <w:r w:rsidRPr="00AD493B">
        <w:rPr>
          <w:rFonts w:asciiTheme="majorHAnsi" w:hAnsiTheme="majorHAnsi"/>
          <w:b/>
          <w:color w:val="4F81BD" w:themeColor="accent1"/>
        </w:rPr>
        <w:lastRenderedPageBreak/>
        <w:t>Why is it useful to measure impact?</w:t>
      </w:r>
    </w:p>
    <w:p w14:paraId="36733FB2" w14:textId="77777777" w:rsidR="000967DB" w:rsidRPr="00A066BF" w:rsidRDefault="000967DB" w:rsidP="000967DB">
      <w:pPr>
        <w:spacing w:after="0" w:line="240" w:lineRule="auto"/>
      </w:pPr>
      <w:r w:rsidRPr="00A066BF">
        <w:t>Measuring impact allows public libraries to show how they contribute to measurable results like job skills developed, education attained, employment found, money saved, and livelihoods improved.  This information can help libraries to:</w:t>
      </w:r>
    </w:p>
    <w:p w14:paraId="7E5F4EE6" w14:textId="77777777" w:rsidR="008604C0" w:rsidRPr="00A066BF" w:rsidRDefault="008604C0" w:rsidP="008604C0">
      <w:pPr>
        <w:spacing w:after="0" w:line="240" w:lineRule="auto"/>
      </w:pPr>
    </w:p>
    <w:p w14:paraId="2962D973" w14:textId="114A8461" w:rsidR="008604C0" w:rsidRPr="00A066BF" w:rsidRDefault="000967DB" w:rsidP="002F1A48">
      <w:pPr>
        <w:pStyle w:val="ListParagraph"/>
        <w:numPr>
          <w:ilvl w:val="0"/>
          <w:numId w:val="12"/>
        </w:numPr>
        <w:spacing w:after="0" w:line="240" w:lineRule="auto"/>
      </w:pPr>
      <w:r w:rsidRPr="00A066BF">
        <w:t>Understand</w:t>
      </w:r>
      <w:r w:rsidR="008604C0" w:rsidRPr="00A066BF">
        <w:t xml:space="preserve"> whether </w:t>
      </w:r>
      <w:r w:rsidR="00EA430A">
        <w:t>library activities and</w:t>
      </w:r>
      <w:r w:rsidR="008604C0" w:rsidRPr="00A066BF">
        <w:t xml:space="preserve"> services are contributing to community impact</w:t>
      </w:r>
      <w:r w:rsidR="00EA430A">
        <w:t xml:space="preserve"> (e.g., the types of changes listed in the table above)</w:t>
      </w:r>
    </w:p>
    <w:p w14:paraId="503CC90C" w14:textId="77777777" w:rsidR="008604C0" w:rsidRPr="00A066BF" w:rsidRDefault="000967DB" w:rsidP="002F1A48">
      <w:pPr>
        <w:pStyle w:val="ListParagraph"/>
        <w:numPr>
          <w:ilvl w:val="0"/>
          <w:numId w:val="12"/>
        </w:numPr>
        <w:spacing w:after="0" w:line="240" w:lineRule="auto"/>
      </w:pPr>
      <w:r w:rsidRPr="00A066BF">
        <w:t>Call</w:t>
      </w:r>
      <w:r w:rsidR="008604C0" w:rsidRPr="00A066BF">
        <w:t xml:space="preserve"> attention to changes that can help libraries more effectively meet their goals</w:t>
      </w:r>
    </w:p>
    <w:p w14:paraId="46F9BB02" w14:textId="77777777" w:rsidR="008604C0" w:rsidRPr="00A066BF" w:rsidRDefault="008604C0" w:rsidP="002F1A48">
      <w:pPr>
        <w:pStyle w:val="ListParagraph"/>
        <w:numPr>
          <w:ilvl w:val="0"/>
          <w:numId w:val="12"/>
        </w:numPr>
        <w:spacing w:after="0" w:line="240" w:lineRule="auto"/>
      </w:pPr>
      <w:r w:rsidRPr="00A066BF">
        <w:t>Guid</w:t>
      </w:r>
      <w:r w:rsidR="000967DB" w:rsidRPr="00A066BF">
        <w:t>e</w:t>
      </w:r>
      <w:r w:rsidRPr="00A066BF">
        <w:t xml:space="preserve"> the formation of new partnerships or supporting existing partners</w:t>
      </w:r>
    </w:p>
    <w:p w14:paraId="0156E5DA" w14:textId="09093BED" w:rsidR="007B4DBD" w:rsidRPr="009774BF" w:rsidRDefault="000967DB" w:rsidP="00A066BF">
      <w:pPr>
        <w:pStyle w:val="ListParagraph"/>
        <w:numPr>
          <w:ilvl w:val="0"/>
          <w:numId w:val="12"/>
        </w:numPr>
        <w:spacing w:after="60" w:line="240" w:lineRule="auto"/>
        <w:rPr>
          <w:b/>
        </w:rPr>
      </w:pPr>
      <w:r w:rsidRPr="00A066BF">
        <w:t>Use</w:t>
      </w:r>
      <w:r w:rsidR="008604C0" w:rsidRPr="00A066BF">
        <w:t xml:space="preserve"> evidence of impact to advocate for continued support for public libraries</w:t>
      </w:r>
    </w:p>
    <w:p w14:paraId="56170218" w14:textId="77777777" w:rsidR="009774BF" w:rsidRDefault="009774BF" w:rsidP="009774BF">
      <w:pPr>
        <w:spacing w:after="60" w:line="240" w:lineRule="auto"/>
        <w:rPr>
          <w:b/>
        </w:rPr>
      </w:pPr>
    </w:p>
    <w:p w14:paraId="2E46324E" w14:textId="56049E85" w:rsidR="00E87A1D" w:rsidRDefault="009774BF" w:rsidP="00E87A1D">
      <w:pPr>
        <w:spacing w:after="60" w:line="240" w:lineRule="auto"/>
      </w:pPr>
      <w:r>
        <w:t>When libraries measure impact, it can also help other stakeholders.  Library visitors benefit from the quality of life improvements mentioned earlier, and local and national government can bolster its reputation among constituencies for partnering with and supporting libraries in making progress toward development goals.</w:t>
      </w:r>
    </w:p>
    <w:p w14:paraId="62F23141" w14:textId="77777777" w:rsidR="00E87A1D" w:rsidRPr="00E87A1D" w:rsidRDefault="00E87A1D" w:rsidP="00E87A1D">
      <w:pPr>
        <w:spacing w:after="60" w:line="240" w:lineRule="auto"/>
      </w:pPr>
    </w:p>
    <w:p w14:paraId="447C1B32" w14:textId="0359FCDC" w:rsidR="00A316C0" w:rsidRPr="00AD493B" w:rsidRDefault="008A1187" w:rsidP="00E87A1D">
      <w:pPr>
        <w:spacing w:after="60"/>
        <w:rPr>
          <w:rFonts w:asciiTheme="majorHAnsi" w:hAnsiTheme="majorHAnsi"/>
          <w:b/>
          <w:color w:val="4F81BD" w:themeColor="accent1"/>
        </w:rPr>
      </w:pPr>
      <w:r w:rsidRPr="00AD493B">
        <w:rPr>
          <w:rFonts w:asciiTheme="majorHAnsi" w:hAnsiTheme="majorHAnsi"/>
          <w:b/>
          <w:color w:val="4F81BD" w:themeColor="accent1"/>
        </w:rPr>
        <w:t>What should we measure?</w:t>
      </w:r>
    </w:p>
    <w:p w14:paraId="06ECDA18" w14:textId="51267796" w:rsidR="00E1218E" w:rsidRDefault="00E1218E" w:rsidP="00E1218E">
      <w:pPr>
        <w:spacing w:after="60" w:line="240" w:lineRule="auto"/>
      </w:pPr>
      <w:r>
        <w:t>The impact that public libraries have on library users can span a variety of issue area</w:t>
      </w:r>
      <w:r w:rsidR="0050515C">
        <w:t>s including, but not limited to the following</w:t>
      </w:r>
      <w:r w:rsidR="00C84384">
        <w:rPr>
          <w:rStyle w:val="FootnoteReference"/>
        </w:rPr>
        <w:footnoteReference w:id="1"/>
      </w:r>
      <w:r w:rsidR="0050515C">
        <w:t>:</w:t>
      </w:r>
    </w:p>
    <w:p w14:paraId="5961312D" w14:textId="77777777" w:rsidR="0050515C" w:rsidRDefault="0050515C" w:rsidP="00E1218E">
      <w:pPr>
        <w:spacing w:after="60" w:line="240" w:lineRule="auto"/>
      </w:pPr>
    </w:p>
    <w:p w14:paraId="7889FAB4" w14:textId="60FCA036" w:rsidR="00E1218E" w:rsidRPr="00A066BF" w:rsidRDefault="0050515C" w:rsidP="00E1218E">
      <w:pPr>
        <w:spacing w:after="60" w:line="240" w:lineRule="auto"/>
      </w:pPr>
      <w:r>
        <w:rPr>
          <w:noProof/>
        </w:rPr>
        <w:drawing>
          <wp:inline distT="0" distB="0" distL="0" distR="0" wp14:anchorId="4C5C69FA" wp14:editId="78C6F8B0">
            <wp:extent cx="5257446" cy="32004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0134" cy="3202037"/>
                    </a:xfrm>
                    <a:prstGeom prst="rect">
                      <a:avLst/>
                    </a:prstGeom>
                    <a:noFill/>
                  </pic:spPr>
                </pic:pic>
              </a:graphicData>
            </a:graphic>
          </wp:inline>
        </w:drawing>
      </w:r>
    </w:p>
    <w:p w14:paraId="6E990D5C" w14:textId="77777777" w:rsidR="00E1218E" w:rsidRDefault="00E1218E" w:rsidP="00095D07">
      <w:pPr>
        <w:spacing w:after="0" w:line="240" w:lineRule="auto"/>
      </w:pPr>
    </w:p>
    <w:p w14:paraId="004F254D" w14:textId="77777777" w:rsidR="004B5514" w:rsidRDefault="00E1218E" w:rsidP="00095D07">
      <w:pPr>
        <w:spacing w:after="0" w:line="240" w:lineRule="auto"/>
      </w:pPr>
      <w:r>
        <w:lastRenderedPageBreak/>
        <w:t xml:space="preserve">Libraries can seek to understand their impact in these areas by identifying indicators that help to quantify the ways that libraries have made a difference for those they serve.  </w:t>
      </w:r>
      <w:r w:rsidR="005009CD">
        <w:t xml:space="preserve">They can also gather qualitative information such as stories, anecdotes and observations.  </w:t>
      </w:r>
    </w:p>
    <w:p w14:paraId="50EB606B" w14:textId="77777777" w:rsidR="004B5514" w:rsidRDefault="004B5514" w:rsidP="00095D07">
      <w:pPr>
        <w:spacing w:after="0" w:line="240" w:lineRule="auto"/>
      </w:pPr>
    </w:p>
    <w:p w14:paraId="05CBAAE0" w14:textId="14BB5C61" w:rsidR="002F735E" w:rsidRDefault="00FE3B1F" w:rsidP="00095D07">
      <w:pPr>
        <w:spacing w:after="0" w:line="240" w:lineRule="auto"/>
      </w:pPr>
      <w:r>
        <w:t xml:space="preserve">It is important to </w:t>
      </w:r>
      <w:r w:rsidR="002F735E">
        <w:t>choose a short set of information to measure based on what will be most powerful in the local context for advocacy and learning purposes – for instance, someone in the ministry of agriculture will be most interested in the impact that libraries have on farmer</w:t>
      </w:r>
      <w:r w:rsidR="004B5514">
        <w:t>s’</w:t>
      </w:r>
      <w:r w:rsidR="002F735E">
        <w:t xml:space="preserve"> livelihood</w:t>
      </w:r>
      <w:r w:rsidR="004B5514">
        <w:t>s</w:t>
      </w:r>
      <w:r w:rsidR="002F735E">
        <w:t xml:space="preserve">.  No </w:t>
      </w:r>
      <w:r w:rsidR="004B5514" w:rsidRPr="00602E35">
        <w:t>single</w:t>
      </w:r>
      <w:r w:rsidR="004B5514" w:rsidRPr="00602E35">
        <w:rPr>
          <w:i/>
        </w:rPr>
        <w:t xml:space="preserve"> </w:t>
      </w:r>
      <w:r w:rsidR="002F735E">
        <w:t xml:space="preserve">indicator will be </w:t>
      </w:r>
      <w:r>
        <w:t>effective in every context.</w:t>
      </w:r>
      <w:r w:rsidR="002F735E">
        <w:t xml:space="preserve">  </w:t>
      </w:r>
    </w:p>
    <w:p w14:paraId="70DED30B" w14:textId="77777777" w:rsidR="004B5514" w:rsidRDefault="004B5514" w:rsidP="00095D07">
      <w:pPr>
        <w:spacing w:after="0" w:line="240" w:lineRule="auto"/>
      </w:pPr>
    </w:p>
    <w:p w14:paraId="682C1804" w14:textId="5FDF6716" w:rsidR="00BC7C83" w:rsidRPr="00A066BF" w:rsidRDefault="002F735E" w:rsidP="00095D07">
      <w:pPr>
        <w:spacing w:after="0" w:line="240" w:lineRule="auto"/>
      </w:pPr>
      <w:r w:rsidRPr="00A066BF">
        <w:t xml:space="preserve">The following is a short list of </w:t>
      </w:r>
      <w:r>
        <w:t>example indicators that have been found to be particularly persuasive to policymakers, or most useful for designing and improving library services.</w:t>
      </w:r>
      <w:r w:rsidR="00CF180A">
        <w:t xml:space="preserve">  Note that library services can include access to books, </w:t>
      </w:r>
      <w:r w:rsidR="00CF180A" w:rsidRPr="00CF180A">
        <w:t>WiFi, computer</w:t>
      </w:r>
      <w:r w:rsidR="00CF180A">
        <w:t>s</w:t>
      </w:r>
      <w:r w:rsidR="00CF180A" w:rsidRPr="00CF180A">
        <w:t xml:space="preserve">, Internet, training or assistance from library staff or </w:t>
      </w:r>
      <w:r w:rsidR="00CF180A">
        <w:t xml:space="preserve">an </w:t>
      </w:r>
      <w:r w:rsidR="00CF180A" w:rsidRPr="00CF180A">
        <w:t>outside expert</w:t>
      </w:r>
      <w:r w:rsidR="00CF180A">
        <w:t>, and/or other resources, training and events.</w:t>
      </w:r>
    </w:p>
    <w:p w14:paraId="7EA23CE6" w14:textId="77777777" w:rsidR="00BC7C83" w:rsidRPr="00A066BF" w:rsidRDefault="00BC7C83" w:rsidP="00204306">
      <w:pPr>
        <w:spacing w:after="0" w:line="240" w:lineRule="auto"/>
      </w:pPr>
    </w:p>
    <w:p w14:paraId="31072F87" w14:textId="774F799A" w:rsidR="00A316C0" w:rsidRPr="00A066BF" w:rsidRDefault="00A316C0" w:rsidP="00204306">
      <w:pPr>
        <w:spacing w:after="0" w:line="240" w:lineRule="auto"/>
        <w:rPr>
          <w:i/>
        </w:rPr>
      </w:pPr>
      <w:r w:rsidRPr="00A066BF">
        <w:rPr>
          <w:i/>
        </w:rPr>
        <w:t>Number</w:t>
      </w:r>
      <w:r w:rsidR="004B5514">
        <w:rPr>
          <w:i/>
        </w:rPr>
        <w:t>/percentage</w:t>
      </w:r>
      <w:r w:rsidRPr="00A066BF">
        <w:rPr>
          <w:i/>
        </w:rPr>
        <w:t xml:space="preserve"> of </w:t>
      </w:r>
      <w:r w:rsidRPr="00602E35">
        <w:rPr>
          <w:i/>
          <w:u w:val="single"/>
        </w:rPr>
        <w:t>library visitors</w:t>
      </w:r>
      <w:r w:rsidRPr="00A066BF">
        <w:rPr>
          <w:i/>
        </w:rPr>
        <w:t xml:space="preserve"> who:</w:t>
      </w:r>
    </w:p>
    <w:p w14:paraId="7BB71E23" w14:textId="77777777" w:rsidR="00A316C0" w:rsidRDefault="00A316C0" w:rsidP="002F1A48">
      <w:pPr>
        <w:pStyle w:val="ListParagraph"/>
        <w:numPr>
          <w:ilvl w:val="0"/>
          <w:numId w:val="1"/>
        </w:numPr>
        <w:spacing w:after="0" w:line="240" w:lineRule="auto"/>
      </w:pPr>
      <w:r w:rsidRPr="00A066BF">
        <w:rPr>
          <w:b/>
        </w:rPr>
        <w:t>use the Internet</w:t>
      </w:r>
      <w:r w:rsidRPr="00A066BF">
        <w:t xml:space="preserve"> at the public library</w:t>
      </w:r>
    </w:p>
    <w:p w14:paraId="7C323CC1" w14:textId="794AC410" w:rsidR="00AB7EAD" w:rsidRPr="0044320A" w:rsidRDefault="00AB7EAD" w:rsidP="002F1A48">
      <w:pPr>
        <w:pStyle w:val="ListParagraph"/>
        <w:numPr>
          <w:ilvl w:val="0"/>
          <w:numId w:val="1"/>
        </w:numPr>
        <w:spacing w:after="0" w:line="240" w:lineRule="auto"/>
      </w:pPr>
      <w:r>
        <w:rPr>
          <w:b/>
        </w:rPr>
        <w:t>learn</w:t>
      </w:r>
      <w:r w:rsidR="00F13650">
        <w:rPr>
          <w:b/>
        </w:rPr>
        <w:t xml:space="preserve"> basic computer and I</w:t>
      </w:r>
      <w:r>
        <w:rPr>
          <w:b/>
        </w:rPr>
        <w:t>nternet skills</w:t>
      </w:r>
      <w:r w:rsidR="00F13650">
        <w:rPr>
          <w:b/>
        </w:rPr>
        <w:t xml:space="preserve"> </w:t>
      </w:r>
      <w:r w:rsidR="00F13650">
        <w:t>at the public library</w:t>
      </w:r>
    </w:p>
    <w:p w14:paraId="6BD0C7E1" w14:textId="2A3078D1" w:rsidR="0044320A" w:rsidRPr="00A066BF" w:rsidRDefault="0044320A" w:rsidP="0044320A">
      <w:pPr>
        <w:pStyle w:val="ListParagraph"/>
        <w:numPr>
          <w:ilvl w:val="0"/>
          <w:numId w:val="1"/>
        </w:numPr>
        <w:spacing w:after="0" w:line="240" w:lineRule="auto"/>
      </w:pPr>
      <w:r w:rsidRPr="0044320A">
        <w:t xml:space="preserve">are </w:t>
      </w:r>
      <w:r w:rsidR="00DA58A8">
        <w:rPr>
          <w:b/>
        </w:rPr>
        <w:t>more i</w:t>
      </w:r>
      <w:r w:rsidRPr="0044320A">
        <w:rPr>
          <w:b/>
        </w:rPr>
        <w:t>nvolved in their community</w:t>
      </w:r>
      <w:r w:rsidRPr="0044320A">
        <w:t xml:space="preserve"> as a result of the services provided at the public library</w:t>
      </w:r>
    </w:p>
    <w:p w14:paraId="3B0C2B96" w14:textId="44509FB6" w:rsidR="00A316C0" w:rsidRPr="00A066BF" w:rsidRDefault="00A316C0" w:rsidP="002F1A48">
      <w:pPr>
        <w:pStyle w:val="ListParagraph"/>
        <w:numPr>
          <w:ilvl w:val="0"/>
          <w:numId w:val="1"/>
        </w:numPr>
        <w:spacing w:after="0" w:line="240" w:lineRule="auto"/>
      </w:pPr>
      <w:r w:rsidRPr="00A066BF">
        <w:rPr>
          <w:b/>
        </w:rPr>
        <w:t>save money</w:t>
      </w:r>
      <w:r w:rsidRPr="00A066BF">
        <w:t xml:space="preserve"> as a result of technology</w:t>
      </w:r>
      <w:r w:rsidR="00F13650">
        <w:t xml:space="preserve"> or services</w:t>
      </w:r>
      <w:r w:rsidRPr="00A066BF">
        <w:t xml:space="preserve"> provided by the public library</w:t>
      </w:r>
    </w:p>
    <w:p w14:paraId="7F3E7167" w14:textId="640BD35F" w:rsidR="00CF180A" w:rsidRPr="00A066BF" w:rsidRDefault="00CF180A" w:rsidP="002F1A48">
      <w:pPr>
        <w:pStyle w:val="ListParagraph"/>
        <w:numPr>
          <w:ilvl w:val="0"/>
          <w:numId w:val="1"/>
        </w:numPr>
        <w:spacing w:after="0" w:line="240" w:lineRule="auto"/>
      </w:pPr>
      <w:r>
        <w:rPr>
          <w:b/>
        </w:rPr>
        <w:t xml:space="preserve">read more </w:t>
      </w:r>
      <w:r>
        <w:t xml:space="preserve">as a result of their access to the public library </w:t>
      </w:r>
    </w:p>
    <w:p w14:paraId="20E3DF65" w14:textId="33839EAC" w:rsidR="00582E46" w:rsidRPr="00A066BF" w:rsidRDefault="00582E46" w:rsidP="00582E46">
      <w:pPr>
        <w:pStyle w:val="ListParagraph"/>
        <w:numPr>
          <w:ilvl w:val="0"/>
          <w:numId w:val="1"/>
        </w:numPr>
        <w:spacing w:after="0" w:line="240" w:lineRule="auto"/>
      </w:pPr>
      <w:r w:rsidRPr="00A066BF">
        <w:rPr>
          <w:b/>
        </w:rPr>
        <w:t>find job listings or employment opportunities</w:t>
      </w:r>
      <w:r w:rsidR="00F13650">
        <w:rPr>
          <w:b/>
        </w:rPr>
        <w:t xml:space="preserve"> </w:t>
      </w:r>
      <w:r w:rsidR="00F13650" w:rsidRPr="00F13650">
        <w:t>using</w:t>
      </w:r>
      <w:r w:rsidR="00F13650">
        <w:rPr>
          <w:b/>
        </w:rPr>
        <w:t xml:space="preserve"> </w:t>
      </w:r>
      <w:r w:rsidR="00F13650" w:rsidRPr="00A066BF">
        <w:t xml:space="preserve">services at the public library </w:t>
      </w:r>
    </w:p>
    <w:p w14:paraId="49BAF9BC" w14:textId="76D14C39" w:rsidR="00A316C0" w:rsidRPr="00A066BF" w:rsidRDefault="001C72D4" w:rsidP="00204306">
      <w:pPr>
        <w:pStyle w:val="ListParagraph"/>
        <w:numPr>
          <w:ilvl w:val="0"/>
          <w:numId w:val="1"/>
        </w:numPr>
        <w:spacing w:after="0" w:line="240" w:lineRule="auto"/>
      </w:pPr>
      <w:r>
        <w:rPr>
          <w:b/>
        </w:rPr>
        <w:t>search for</w:t>
      </w:r>
      <w:r w:rsidR="00A316C0" w:rsidRPr="00A066BF">
        <w:rPr>
          <w:b/>
        </w:rPr>
        <w:t xml:space="preserve"> health information</w:t>
      </w:r>
      <w:r w:rsidR="00A316C0" w:rsidRPr="00A066BF">
        <w:t xml:space="preserve"> </w:t>
      </w:r>
      <w:r>
        <w:t>using</w:t>
      </w:r>
      <w:r w:rsidR="00A316C0" w:rsidRPr="00A066BF">
        <w:t xml:space="preserve"> public library services</w:t>
      </w:r>
    </w:p>
    <w:p w14:paraId="3859533E" w14:textId="77777777" w:rsidR="004B5514" w:rsidRDefault="004B5514" w:rsidP="00531238">
      <w:pPr>
        <w:spacing w:after="0" w:line="240" w:lineRule="auto"/>
        <w:ind w:left="720"/>
        <w:rPr>
          <w:b/>
          <w:bCs/>
        </w:rPr>
      </w:pPr>
    </w:p>
    <w:p w14:paraId="3319FB2A" w14:textId="341780F1" w:rsidR="004B5514" w:rsidRPr="00531238" w:rsidRDefault="004B5514" w:rsidP="00531238">
      <w:pPr>
        <w:spacing w:after="0" w:line="240" w:lineRule="auto"/>
        <w:rPr>
          <w:i/>
        </w:rPr>
      </w:pPr>
      <w:r w:rsidRPr="00531238">
        <w:rPr>
          <w:i/>
        </w:rPr>
        <w:t xml:space="preserve">Number/percentage of </w:t>
      </w:r>
      <w:r w:rsidRPr="00531238">
        <w:rPr>
          <w:i/>
          <w:u w:val="single"/>
        </w:rPr>
        <w:t>public access computer/ Internet users</w:t>
      </w:r>
      <w:r w:rsidRPr="00531238">
        <w:rPr>
          <w:i/>
        </w:rPr>
        <w:t>:</w:t>
      </w:r>
    </w:p>
    <w:p w14:paraId="12A17180" w14:textId="04BA6376" w:rsidR="004B5514" w:rsidRPr="00A066BF" w:rsidRDefault="004B5514" w:rsidP="00531238">
      <w:pPr>
        <w:pStyle w:val="ListParagraph"/>
        <w:numPr>
          <w:ilvl w:val="0"/>
          <w:numId w:val="43"/>
        </w:numPr>
        <w:spacing w:after="0" w:line="240" w:lineRule="auto"/>
      </w:pPr>
      <w:r>
        <w:t xml:space="preserve">For whom </w:t>
      </w:r>
      <w:r w:rsidRPr="00A066BF">
        <w:t xml:space="preserve">the </w:t>
      </w:r>
      <w:r w:rsidRPr="00531238">
        <w:rPr>
          <w:b/>
        </w:rPr>
        <w:t>library is the only free point of access</w:t>
      </w:r>
      <w:r w:rsidRPr="00A066BF">
        <w:t xml:space="preserve"> to the Internet</w:t>
      </w:r>
    </w:p>
    <w:p w14:paraId="702F6F68" w14:textId="77777777" w:rsidR="00C51C7D" w:rsidRPr="00531238" w:rsidRDefault="00C51C7D" w:rsidP="00C51C7D">
      <w:pPr>
        <w:pStyle w:val="ListParagraph"/>
        <w:numPr>
          <w:ilvl w:val="0"/>
          <w:numId w:val="43"/>
        </w:numPr>
        <w:spacing w:line="240" w:lineRule="auto"/>
        <w:rPr>
          <w:b/>
          <w:bCs/>
        </w:rPr>
      </w:pPr>
      <w:r w:rsidRPr="00531238">
        <w:rPr>
          <w:b/>
          <w:bCs/>
        </w:rPr>
        <w:t xml:space="preserve">communicate </w:t>
      </w:r>
      <w:r w:rsidRPr="00C51C7D">
        <w:rPr>
          <w:b/>
          <w:bCs/>
          <w:iCs/>
        </w:rPr>
        <w:t>more</w:t>
      </w:r>
      <w:r w:rsidRPr="00531238">
        <w:rPr>
          <w:b/>
          <w:bCs/>
        </w:rPr>
        <w:t xml:space="preserve"> with family and friends </w:t>
      </w:r>
      <w:r w:rsidRPr="00531238">
        <w:rPr>
          <w:bCs/>
        </w:rPr>
        <w:t>as a result of technology at the public library</w:t>
      </w:r>
    </w:p>
    <w:p w14:paraId="66D1E84F" w14:textId="77777777" w:rsidR="00C51C7D" w:rsidRPr="00531238" w:rsidRDefault="00C51C7D" w:rsidP="00C51C7D">
      <w:pPr>
        <w:pStyle w:val="ListParagraph"/>
        <w:numPr>
          <w:ilvl w:val="0"/>
          <w:numId w:val="43"/>
        </w:numPr>
        <w:spacing w:after="0" w:line="240" w:lineRule="auto"/>
        <w:rPr>
          <w:b/>
          <w:bCs/>
        </w:rPr>
      </w:pPr>
      <w:r>
        <w:rPr>
          <w:b/>
          <w:bCs/>
        </w:rPr>
        <w:t xml:space="preserve">buy or sell a product or service </w:t>
      </w:r>
      <w:r>
        <w:rPr>
          <w:bCs/>
        </w:rPr>
        <w:t>using technology at the public library</w:t>
      </w:r>
    </w:p>
    <w:p w14:paraId="7DA07023" w14:textId="77777777" w:rsidR="00531238" w:rsidRPr="00A066BF" w:rsidRDefault="00531238" w:rsidP="00531238">
      <w:pPr>
        <w:pStyle w:val="ListParagraph"/>
        <w:numPr>
          <w:ilvl w:val="0"/>
          <w:numId w:val="43"/>
        </w:numPr>
        <w:spacing w:after="0" w:line="240" w:lineRule="auto"/>
      </w:pPr>
      <w:r>
        <w:rPr>
          <w:b/>
        </w:rPr>
        <w:t>use e-government services</w:t>
      </w:r>
      <w:r w:rsidRPr="00A066BF">
        <w:t xml:space="preserve"> using technology at the public library</w:t>
      </w:r>
    </w:p>
    <w:p w14:paraId="4B228553" w14:textId="77777777" w:rsidR="00531238" w:rsidRPr="00A066BF" w:rsidRDefault="00531238" w:rsidP="00531238">
      <w:pPr>
        <w:pStyle w:val="ListParagraph"/>
        <w:numPr>
          <w:ilvl w:val="0"/>
          <w:numId w:val="43"/>
        </w:numPr>
        <w:spacing w:after="0" w:line="240" w:lineRule="auto"/>
      </w:pPr>
      <w:r w:rsidRPr="00A066BF">
        <w:rPr>
          <w:b/>
        </w:rPr>
        <w:t xml:space="preserve">receive money/subsidies/support </w:t>
      </w:r>
      <w:r w:rsidRPr="00A066BF">
        <w:t>owed to them by the government as a result of their ability to access government services using technology at the public library</w:t>
      </w:r>
    </w:p>
    <w:p w14:paraId="46B7C22F" w14:textId="77777777" w:rsidR="004B5514" w:rsidRPr="00A066BF" w:rsidRDefault="004B5514" w:rsidP="00233482">
      <w:pPr>
        <w:spacing w:after="0" w:line="240" w:lineRule="auto"/>
        <w:rPr>
          <w:b/>
          <w:bCs/>
        </w:rPr>
      </w:pPr>
    </w:p>
    <w:p w14:paraId="0D2FD1F1" w14:textId="77777777" w:rsidR="00105B27" w:rsidRPr="00AD493B" w:rsidRDefault="008A1187" w:rsidP="00A066BF">
      <w:pPr>
        <w:spacing w:after="60" w:line="240" w:lineRule="auto"/>
        <w:rPr>
          <w:rFonts w:asciiTheme="majorHAnsi" w:hAnsiTheme="majorHAnsi"/>
          <w:b/>
          <w:bCs/>
          <w:color w:val="4F81BD" w:themeColor="accent1"/>
        </w:rPr>
      </w:pPr>
      <w:r w:rsidRPr="00AD493B">
        <w:rPr>
          <w:rFonts w:asciiTheme="majorHAnsi" w:hAnsiTheme="majorHAnsi"/>
          <w:b/>
          <w:bCs/>
          <w:color w:val="4F81BD" w:themeColor="accent1"/>
        </w:rPr>
        <w:t>How to collect impact data?</w:t>
      </w:r>
    </w:p>
    <w:p w14:paraId="7E95C225" w14:textId="77777777" w:rsidR="008A1187" w:rsidRDefault="008A1187" w:rsidP="00233482">
      <w:pPr>
        <w:spacing w:after="0" w:line="240" w:lineRule="auto"/>
      </w:pPr>
      <w:r w:rsidRPr="00A066BF">
        <w:t xml:space="preserve">At a </w:t>
      </w:r>
      <w:r w:rsidR="004A02B4" w:rsidRPr="00A066BF">
        <w:t xml:space="preserve">very </w:t>
      </w:r>
      <w:r w:rsidRPr="00A066BF">
        <w:t>basic level, collecting impact data involves</w:t>
      </w:r>
      <w:r w:rsidR="004F2781">
        <w:t xml:space="preserve"> the following methodology</w:t>
      </w:r>
      <w:r w:rsidRPr="00A066BF">
        <w:t>:</w:t>
      </w:r>
    </w:p>
    <w:p w14:paraId="7899178E" w14:textId="77777777" w:rsidR="004B5514" w:rsidRPr="00A066BF" w:rsidRDefault="004B5514" w:rsidP="00233482">
      <w:pPr>
        <w:spacing w:after="0" w:line="240" w:lineRule="auto"/>
      </w:pPr>
    </w:p>
    <w:p w14:paraId="147BCD12" w14:textId="23B33D6B" w:rsidR="005724B1" w:rsidRDefault="00273187" w:rsidP="00A109CD">
      <w:pPr>
        <w:pStyle w:val="ListParagraph"/>
        <w:numPr>
          <w:ilvl w:val="0"/>
          <w:numId w:val="13"/>
        </w:numPr>
        <w:spacing w:after="0" w:line="240" w:lineRule="auto"/>
      </w:pPr>
      <w:r>
        <w:rPr>
          <w:i/>
        </w:rPr>
        <w:t xml:space="preserve">Determine </w:t>
      </w:r>
      <w:r w:rsidR="00C83DF5" w:rsidRPr="00C83DF5">
        <w:rPr>
          <w:i/>
        </w:rPr>
        <w:t>what to measure</w:t>
      </w:r>
      <w:r w:rsidR="00C83DF5">
        <w:t xml:space="preserve"> by identifying information that will be important to policy- and decision-makers </w:t>
      </w:r>
      <w:r w:rsidR="00A109CD">
        <w:t xml:space="preserve">such as the ministries responsible for libraries (e.g., culture, information and communications) </w:t>
      </w:r>
      <w:r w:rsidR="00C83DF5">
        <w:t>and/or important for understanding how to design and improve library services</w:t>
      </w:r>
      <w:r w:rsidR="00A109CD">
        <w:t xml:space="preserve"> </w:t>
      </w:r>
    </w:p>
    <w:p w14:paraId="5245FD1A" w14:textId="3F78AFA8" w:rsidR="008A1187" w:rsidRPr="00A066BF" w:rsidRDefault="00273187" w:rsidP="002F1A48">
      <w:pPr>
        <w:pStyle w:val="ListParagraph"/>
        <w:numPr>
          <w:ilvl w:val="0"/>
          <w:numId w:val="13"/>
        </w:numPr>
        <w:spacing w:after="0" w:line="240" w:lineRule="auto"/>
      </w:pPr>
      <w:r>
        <w:rPr>
          <w:i/>
        </w:rPr>
        <w:t>Create</w:t>
      </w:r>
      <w:r w:rsidR="008A1187" w:rsidRPr="00C83DF5">
        <w:rPr>
          <w:i/>
        </w:rPr>
        <w:t xml:space="preserve"> a survey</w:t>
      </w:r>
      <w:r>
        <w:rPr>
          <w:i/>
        </w:rPr>
        <w:t xml:space="preserve"> </w:t>
      </w:r>
      <w:r w:rsidR="004A02B4" w:rsidRPr="00A066BF">
        <w:t xml:space="preserve">in the appropriate local language </w:t>
      </w:r>
      <w:r w:rsidR="00C83DF5">
        <w:t>that can be used to collect information for the identified indicators</w:t>
      </w:r>
      <w:r w:rsidR="00DF4F17">
        <w:t>.  This survey can be administered in paper format or by using a tablet or mobile device</w:t>
      </w:r>
      <w:r w:rsidR="00C83DF5">
        <w:t xml:space="preserve"> </w:t>
      </w:r>
      <w:r w:rsidR="008A1187" w:rsidRPr="00A066BF">
        <w:t>(see Example Impact Measurement Survey in appendix)</w:t>
      </w:r>
    </w:p>
    <w:p w14:paraId="620BAB6E" w14:textId="59141548" w:rsidR="004A02B4" w:rsidRPr="00A066BF" w:rsidRDefault="004A02B4" w:rsidP="002F1A48">
      <w:pPr>
        <w:pStyle w:val="ListParagraph"/>
        <w:numPr>
          <w:ilvl w:val="0"/>
          <w:numId w:val="13"/>
        </w:numPr>
        <w:spacing w:after="0" w:line="240" w:lineRule="auto"/>
      </w:pPr>
      <w:r w:rsidRPr="00C83DF5">
        <w:rPr>
          <w:i/>
        </w:rPr>
        <w:t>Administe</w:t>
      </w:r>
      <w:r w:rsidR="00273187">
        <w:rPr>
          <w:i/>
        </w:rPr>
        <w:t xml:space="preserve">r </w:t>
      </w:r>
      <w:r w:rsidRPr="00C83DF5">
        <w:rPr>
          <w:i/>
        </w:rPr>
        <w:t>the survey</w:t>
      </w:r>
      <w:r w:rsidRPr="00A066BF">
        <w:t xml:space="preserve"> to a random sample of public library visitors </w:t>
      </w:r>
      <w:r w:rsidR="00754416" w:rsidRPr="00A066BF">
        <w:t xml:space="preserve">(ideally </w:t>
      </w:r>
      <w:r w:rsidR="00C83DF5">
        <w:t xml:space="preserve">at regular intervals – e.g., </w:t>
      </w:r>
      <w:r w:rsidR="00754416" w:rsidRPr="00A066BF">
        <w:t>once a year</w:t>
      </w:r>
      <w:r w:rsidR="00C83DF5">
        <w:t xml:space="preserve"> –</w:t>
      </w:r>
      <w:r w:rsidR="00754416" w:rsidRPr="00A066BF">
        <w:t xml:space="preserve"> in order to measure changes over time)</w:t>
      </w:r>
    </w:p>
    <w:p w14:paraId="74BC84C2" w14:textId="1CB28179" w:rsidR="004A02B4" w:rsidRPr="00A066BF" w:rsidRDefault="00273187" w:rsidP="002F1A48">
      <w:pPr>
        <w:pStyle w:val="ListParagraph"/>
        <w:numPr>
          <w:ilvl w:val="0"/>
          <w:numId w:val="13"/>
        </w:numPr>
        <w:spacing w:after="0" w:line="240" w:lineRule="auto"/>
      </w:pPr>
      <w:r>
        <w:rPr>
          <w:i/>
        </w:rPr>
        <w:t>Analyze</w:t>
      </w:r>
      <w:r w:rsidR="005724B1" w:rsidRPr="00C83DF5">
        <w:rPr>
          <w:i/>
        </w:rPr>
        <w:t xml:space="preserve"> and </w:t>
      </w:r>
      <w:r w:rsidR="00C83DF5" w:rsidRPr="00C83DF5">
        <w:rPr>
          <w:i/>
        </w:rPr>
        <w:t>s</w:t>
      </w:r>
      <w:r w:rsidR="004A02B4" w:rsidRPr="00C83DF5">
        <w:rPr>
          <w:i/>
        </w:rPr>
        <w:t>ynthesiz</w:t>
      </w:r>
      <w:r>
        <w:rPr>
          <w:i/>
        </w:rPr>
        <w:t>e</w:t>
      </w:r>
      <w:r w:rsidR="004A02B4" w:rsidRPr="00C83DF5">
        <w:rPr>
          <w:i/>
        </w:rPr>
        <w:t xml:space="preserve"> the data</w:t>
      </w:r>
      <w:r w:rsidR="004A02B4" w:rsidRPr="00A066BF">
        <w:t xml:space="preserve"> that is collected</w:t>
      </w:r>
    </w:p>
    <w:p w14:paraId="014444FE" w14:textId="1838145C" w:rsidR="005724B1" w:rsidRDefault="00273187" w:rsidP="002F1A48">
      <w:pPr>
        <w:pStyle w:val="ListParagraph"/>
        <w:numPr>
          <w:ilvl w:val="0"/>
          <w:numId w:val="13"/>
        </w:numPr>
        <w:spacing w:after="0" w:line="240" w:lineRule="auto"/>
      </w:pPr>
      <w:r>
        <w:rPr>
          <w:i/>
        </w:rPr>
        <w:t>Examine</w:t>
      </w:r>
      <w:r w:rsidR="00FC7E7B" w:rsidRPr="00FC7E7B">
        <w:rPr>
          <w:i/>
        </w:rPr>
        <w:t xml:space="preserve"> </w:t>
      </w:r>
      <w:r w:rsidR="005724B1" w:rsidRPr="00FC7E7B">
        <w:rPr>
          <w:i/>
        </w:rPr>
        <w:t>the data to develop key messages and insights</w:t>
      </w:r>
      <w:r w:rsidR="00FC7E7B">
        <w:t xml:space="preserve"> that will resonate with key audiences</w:t>
      </w:r>
      <w:r w:rsidR="005724B1">
        <w:t xml:space="preserve"> </w:t>
      </w:r>
      <w:r w:rsidR="00FC7E7B">
        <w:t>(e.g., policymakers)</w:t>
      </w:r>
    </w:p>
    <w:p w14:paraId="7F3DF298" w14:textId="3D712ECD" w:rsidR="008A1187" w:rsidRDefault="00273187" w:rsidP="002F1A48">
      <w:pPr>
        <w:pStyle w:val="ListParagraph"/>
        <w:numPr>
          <w:ilvl w:val="0"/>
          <w:numId w:val="13"/>
        </w:numPr>
        <w:spacing w:after="0" w:line="240" w:lineRule="auto"/>
      </w:pPr>
      <w:r>
        <w:rPr>
          <w:i/>
        </w:rPr>
        <w:lastRenderedPageBreak/>
        <w:t>Use the</w:t>
      </w:r>
      <w:r w:rsidR="004A02B4" w:rsidRPr="00FC7E7B">
        <w:rPr>
          <w:i/>
        </w:rPr>
        <w:t xml:space="preserve"> data</w:t>
      </w:r>
      <w:r w:rsidR="004A02B4" w:rsidRPr="00A066BF">
        <w:t xml:space="preserve"> about the impact of library </w:t>
      </w:r>
      <w:r w:rsidR="00447860" w:rsidRPr="00A066BF">
        <w:t xml:space="preserve">services </w:t>
      </w:r>
      <w:r w:rsidR="00FC7E7B">
        <w:t>to persuade policy- and decision-makers and/or to design or improve library services</w:t>
      </w:r>
      <w:r w:rsidR="00FE3B1F">
        <w:t>.  Often times, pairing quantitative (numbers) data with a story is the most powerful way to talk about the library’s impact</w:t>
      </w:r>
    </w:p>
    <w:p w14:paraId="0690B59F" w14:textId="77777777" w:rsidR="007B4DBD" w:rsidRDefault="007B4DBD" w:rsidP="007B4DBD">
      <w:pPr>
        <w:spacing w:after="0" w:line="240" w:lineRule="auto"/>
      </w:pPr>
    </w:p>
    <w:p w14:paraId="21B56F5A" w14:textId="7E655CA1" w:rsidR="007256B0" w:rsidRDefault="007256B0" w:rsidP="007B4DBD">
      <w:pPr>
        <w:spacing w:after="0" w:line="240" w:lineRule="auto"/>
      </w:pPr>
      <w:r>
        <w:t xml:space="preserve">For many libraries, analyzing and synthesizing the data and then developing key messages and insights are the tasks they find most challenging.  In this case, it can be helpful to form partnerships with local academic institutions that can provide assistance with the analysis.  </w:t>
      </w:r>
    </w:p>
    <w:p w14:paraId="32F3DA58" w14:textId="77777777" w:rsidR="007256B0" w:rsidRDefault="007256B0" w:rsidP="007B4DBD">
      <w:pPr>
        <w:spacing w:after="0" w:line="240" w:lineRule="auto"/>
      </w:pPr>
    </w:p>
    <w:p w14:paraId="789446BC" w14:textId="36A3009A" w:rsidR="007B4DBD" w:rsidRPr="007B4DBD" w:rsidRDefault="007B4DBD" w:rsidP="007B4DBD">
      <w:pPr>
        <w:spacing w:after="0" w:line="240" w:lineRule="auto"/>
        <w:rPr>
          <w:i/>
        </w:rPr>
      </w:pPr>
      <w:r>
        <w:rPr>
          <w:i/>
        </w:rPr>
        <w:t xml:space="preserve">For additional information on how to </w:t>
      </w:r>
      <w:r w:rsidR="007256B0">
        <w:rPr>
          <w:i/>
        </w:rPr>
        <w:t>collect impact data</w:t>
      </w:r>
      <w:r>
        <w:rPr>
          <w:i/>
        </w:rPr>
        <w:t xml:space="preserve">, see list of resources in the </w:t>
      </w:r>
      <w:r w:rsidR="00691B71">
        <w:rPr>
          <w:i/>
        </w:rPr>
        <w:t>Appendix: How to L</w:t>
      </w:r>
      <w:r>
        <w:rPr>
          <w:i/>
        </w:rPr>
        <w:t>e</w:t>
      </w:r>
      <w:r w:rsidR="00691B71">
        <w:rPr>
          <w:i/>
        </w:rPr>
        <w:t>arn More.</w:t>
      </w:r>
    </w:p>
    <w:p w14:paraId="106B9C5E" w14:textId="77777777" w:rsidR="008034FF" w:rsidRDefault="008034FF" w:rsidP="00A066BF">
      <w:pPr>
        <w:spacing w:after="60" w:line="240" w:lineRule="auto"/>
        <w:rPr>
          <w:b/>
          <w:bCs/>
        </w:rPr>
      </w:pPr>
    </w:p>
    <w:p w14:paraId="7499081A" w14:textId="77777777" w:rsidR="00754416" w:rsidRPr="00AD493B" w:rsidRDefault="0079325A" w:rsidP="00A066BF">
      <w:pPr>
        <w:spacing w:after="60" w:line="240" w:lineRule="auto"/>
        <w:rPr>
          <w:rFonts w:asciiTheme="majorHAnsi" w:hAnsiTheme="majorHAnsi"/>
          <w:b/>
          <w:bCs/>
          <w:color w:val="4F81BD" w:themeColor="accent1"/>
        </w:rPr>
      </w:pPr>
      <w:r w:rsidRPr="00AD493B">
        <w:rPr>
          <w:rFonts w:asciiTheme="majorHAnsi" w:hAnsiTheme="majorHAnsi"/>
          <w:b/>
          <w:bCs/>
          <w:color w:val="4F81BD" w:themeColor="accent1"/>
        </w:rPr>
        <w:t>H</w:t>
      </w:r>
      <w:r w:rsidR="00754416" w:rsidRPr="00AD493B">
        <w:rPr>
          <w:rFonts w:asciiTheme="majorHAnsi" w:hAnsiTheme="majorHAnsi"/>
          <w:b/>
          <w:bCs/>
          <w:color w:val="4F81BD" w:themeColor="accent1"/>
        </w:rPr>
        <w:t xml:space="preserve">ow </w:t>
      </w:r>
      <w:r w:rsidR="003A63DC" w:rsidRPr="00AD493B">
        <w:rPr>
          <w:rFonts w:asciiTheme="majorHAnsi" w:hAnsiTheme="majorHAnsi"/>
          <w:b/>
          <w:bCs/>
          <w:color w:val="4F81BD" w:themeColor="accent1"/>
        </w:rPr>
        <w:t>to</w:t>
      </w:r>
      <w:r w:rsidR="00754416" w:rsidRPr="00AD493B">
        <w:rPr>
          <w:rFonts w:asciiTheme="majorHAnsi" w:hAnsiTheme="majorHAnsi"/>
          <w:b/>
          <w:bCs/>
          <w:color w:val="4F81BD" w:themeColor="accent1"/>
        </w:rPr>
        <w:t xml:space="preserve"> use impact data to overcome library challenges </w:t>
      </w:r>
    </w:p>
    <w:p w14:paraId="2DD8C88E" w14:textId="77777777" w:rsidR="0079325A" w:rsidRPr="00A066BF" w:rsidRDefault="0079325A" w:rsidP="00233482">
      <w:pPr>
        <w:spacing w:after="0" w:line="240" w:lineRule="auto"/>
      </w:pPr>
      <w:r w:rsidRPr="00A066BF">
        <w:t xml:space="preserve">Public library partners, governments, aid organizations, and </w:t>
      </w:r>
      <w:r w:rsidR="00754416" w:rsidRPr="00A066BF">
        <w:t xml:space="preserve">others </w:t>
      </w:r>
      <w:r w:rsidRPr="00A066BF">
        <w:t xml:space="preserve">can use </w:t>
      </w:r>
      <w:r w:rsidR="00754416" w:rsidRPr="00A066BF">
        <w:t xml:space="preserve">impact </w:t>
      </w:r>
      <w:r w:rsidRPr="00A066BF">
        <w:t xml:space="preserve">data to demonstrate the value of public libraries and learn more about engaging with libraries to meet community development goals. </w:t>
      </w:r>
    </w:p>
    <w:p w14:paraId="7092B3D8" w14:textId="77777777" w:rsidR="00754416" w:rsidRPr="00A066BF" w:rsidRDefault="00754416" w:rsidP="00233482">
      <w:pPr>
        <w:spacing w:after="0" w:line="240" w:lineRule="auto"/>
      </w:pPr>
    </w:p>
    <w:tbl>
      <w:tblPr>
        <w:tblStyle w:val="TableGrid"/>
        <w:tblW w:w="0" w:type="auto"/>
        <w:tblLook w:val="04A0" w:firstRow="1" w:lastRow="0" w:firstColumn="1" w:lastColumn="0" w:noHBand="0" w:noVBand="1"/>
      </w:tblPr>
      <w:tblGrid>
        <w:gridCol w:w="3438"/>
        <w:gridCol w:w="270"/>
        <w:gridCol w:w="5868"/>
      </w:tblGrid>
      <w:tr w:rsidR="00754416" w:rsidRPr="00A066BF" w14:paraId="1AF02559" w14:textId="77777777" w:rsidTr="00B31308">
        <w:tc>
          <w:tcPr>
            <w:tcW w:w="3438" w:type="dxa"/>
          </w:tcPr>
          <w:p w14:paraId="470A5184" w14:textId="77777777" w:rsidR="00754416" w:rsidRPr="00A066BF" w:rsidRDefault="00754416" w:rsidP="00233482">
            <w:pPr>
              <w:rPr>
                <w:b/>
              </w:rPr>
            </w:pPr>
            <w:r w:rsidRPr="00A066BF">
              <w:rPr>
                <w:b/>
              </w:rPr>
              <w:t>Library Challenge</w:t>
            </w:r>
          </w:p>
        </w:tc>
        <w:tc>
          <w:tcPr>
            <w:tcW w:w="270" w:type="dxa"/>
          </w:tcPr>
          <w:p w14:paraId="71E60C18" w14:textId="77777777" w:rsidR="00754416" w:rsidRPr="00A066BF" w:rsidRDefault="00754416" w:rsidP="00233482">
            <w:pPr>
              <w:rPr>
                <w:b/>
              </w:rPr>
            </w:pPr>
          </w:p>
        </w:tc>
        <w:tc>
          <w:tcPr>
            <w:tcW w:w="5868" w:type="dxa"/>
          </w:tcPr>
          <w:p w14:paraId="216AD813" w14:textId="77777777" w:rsidR="00754416" w:rsidRPr="00A066BF" w:rsidRDefault="00754416" w:rsidP="00233482">
            <w:pPr>
              <w:rPr>
                <w:b/>
              </w:rPr>
            </w:pPr>
            <w:r w:rsidRPr="00A066BF">
              <w:rPr>
                <w:b/>
              </w:rPr>
              <w:t>Approach to address challenge</w:t>
            </w:r>
          </w:p>
        </w:tc>
      </w:tr>
      <w:tr w:rsidR="00754416" w:rsidRPr="00A066BF" w14:paraId="691D133F" w14:textId="77777777" w:rsidTr="00B31308">
        <w:tc>
          <w:tcPr>
            <w:tcW w:w="3438" w:type="dxa"/>
          </w:tcPr>
          <w:p w14:paraId="09D59603" w14:textId="77777777" w:rsidR="00754416" w:rsidRPr="00A066BF" w:rsidRDefault="00754416" w:rsidP="004147A3">
            <w:r w:rsidRPr="00A066BF">
              <w:t>Inadequate funding; libraries cannot</w:t>
            </w:r>
            <w:r w:rsidR="004147A3" w:rsidRPr="00A066BF">
              <w:t xml:space="preserve"> </w:t>
            </w:r>
            <w:r w:rsidRPr="00A066BF">
              <w:t>afford the cost of the goods and services</w:t>
            </w:r>
            <w:r w:rsidR="004147A3" w:rsidRPr="00A066BF">
              <w:t xml:space="preserve"> </w:t>
            </w:r>
            <w:r w:rsidRPr="00A066BF">
              <w:t>they need to support the community</w:t>
            </w:r>
          </w:p>
        </w:tc>
        <w:tc>
          <w:tcPr>
            <w:tcW w:w="270" w:type="dxa"/>
          </w:tcPr>
          <w:p w14:paraId="61E899ED" w14:textId="77777777" w:rsidR="00754416" w:rsidRPr="00A066BF" w:rsidRDefault="00754416" w:rsidP="00233482"/>
        </w:tc>
        <w:tc>
          <w:tcPr>
            <w:tcW w:w="5868" w:type="dxa"/>
          </w:tcPr>
          <w:p w14:paraId="3365F2B7" w14:textId="637ABE1A" w:rsidR="00754416" w:rsidRPr="00A066BF" w:rsidRDefault="00754416" w:rsidP="00754416">
            <w:r w:rsidRPr="00A066BF">
              <w:t>Library staff and other stakeholders/allies can use data about the impact of library services to advocate for national or local government to create new funding mechanisms for libraries.</w:t>
            </w:r>
            <w:r w:rsidR="00185D7D">
              <w:rPr>
                <w:rStyle w:val="FootnoteReference"/>
              </w:rPr>
              <w:footnoteReference w:id="2"/>
            </w:r>
          </w:p>
        </w:tc>
      </w:tr>
      <w:tr w:rsidR="00754416" w:rsidRPr="00A066BF" w14:paraId="77E10E6F" w14:textId="77777777" w:rsidTr="00B31308">
        <w:tc>
          <w:tcPr>
            <w:tcW w:w="3438" w:type="dxa"/>
          </w:tcPr>
          <w:p w14:paraId="1B783DA4" w14:textId="77777777" w:rsidR="00754416" w:rsidRPr="00A066BF" w:rsidRDefault="00754416" w:rsidP="00233482">
            <w:r w:rsidRPr="00A066BF">
              <w:t>High librarian turnover/lack of leadership</w:t>
            </w:r>
          </w:p>
        </w:tc>
        <w:tc>
          <w:tcPr>
            <w:tcW w:w="270" w:type="dxa"/>
          </w:tcPr>
          <w:p w14:paraId="6EE189AD" w14:textId="77777777" w:rsidR="00754416" w:rsidRPr="00A066BF" w:rsidRDefault="00754416" w:rsidP="00233482"/>
        </w:tc>
        <w:tc>
          <w:tcPr>
            <w:tcW w:w="5868" w:type="dxa"/>
          </w:tcPr>
          <w:p w14:paraId="5D6BAE87" w14:textId="77777777" w:rsidR="00754416" w:rsidRPr="00A066BF" w:rsidRDefault="00754416" w:rsidP="00754416">
            <w:r w:rsidRPr="00A066BF">
              <w:t>Library staff and other stakeholders/allies can use data</w:t>
            </w:r>
          </w:p>
          <w:p w14:paraId="0713547A" w14:textId="77777777" w:rsidR="00754416" w:rsidRPr="00A066BF" w:rsidRDefault="00754416" w:rsidP="00754416">
            <w:r w:rsidRPr="00A066BF">
              <w:t>about the impact of library services to</w:t>
            </w:r>
          </w:p>
          <w:p w14:paraId="0B9C8139" w14:textId="77777777" w:rsidR="00754416" w:rsidRPr="00A066BF" w:rsidRDefault="00754416" w:rsidP="00754416">
            <w:r w:rsidRPr="00A066BF">
              <w:t>reinforce the importance of library staff, raise</w:t>
            </w:r>
          </w:p>
          <w:p w14:paraId="0E162454" w14:textId="77777777" w:rsidR="00754416" w:rsidRPr="00A066BF" w:rsidRDefault="00754416" w:rsidP="00754416">
            <w:r w:rsidRPr="00A066BF">
              <w:t>the visibility of the profession, and recruit</w:t>
            </w:r>
          </w:p>
          <w:p w14:paraId="027C5BF9" w14:textId="77777777" w:rsidR="00754416" w:rsidRPr="00A066BF" w:rsidRDefault="00754416" w:rsidP="00754416">
            <w:r w:rsidRPr="00A066BF">
              <w:t>motivated library staff and leaders</w:t>
            </w:r>
          </w:p>
        </w:tc>
      </w:tr>
      <w:tr w:rsidR="00754416" w:rsidRPr="00A066BF" w14:paraId="6A17D900" w14:textId="77777777" w:rsidTr="00B31308">
        <w:tc>
          <w:tcPr>
            <w:tcW w:w="3438" w:type="dxa"/>
          </w:tcPr>
          <w:p w14:paraId="0FF3B443" w14:textId="77777777" w:rsidR="00754416" w:rsidRPr="00A066BF" w:rsidRDefault="00754416" w:rsidP="004147A3">
            <w:r w:rsidRPr="00A066BF">
              <w:t xml:space="preserve">Outdated computers or limited </w:t>
            </w:r>
            <w:r w:rsidR="004147A3" w:rsidRPr="00A066BF">
              <w:t>b</w:t>
            </w:r>
            <w:r w:rsidRPr="00A066BF">
              <w:t>roadband</w:t>
            </w:r>
            <w:r w:rsidR="004147A3" w:rsidRPr="00A066BF">
              <w:t xml:space="preserve"> </w:t>
            </w:r>
            <w:r w:rsidRPr="00A066BF">
              <w:t>access throughout the library system</w:t>
            </w:r>
          </w:p>
        </w:tc>
        <w:tc>
          <w:tcPr>
            <w:tcW w:w="270" w:type="dxa"/>
          </w:tcPr>
          <w:p w14:paraId="1357232B" w14:textId="77777777" w:rsidR="00754416" w:rsidRPr="00A066BF" w:rsidRDefault="00754416" w:rsidP="00233482"/>
        </w:tc>
        <w:tc>
          <w:tcPr>
            <w:tcW w:w="5868" w:type="dxa"/>
          </w:tcPr>
          <w:p w14:paraId="10ECDE46" w14:textId="77777777" w:rsidR="00754416" w:rsidRPr="00A066BF" w:rsidRDefault="00754416" w:rsidP="004147A3">
            <w:r w:rsidRPr="00A066BF">
              <w:t>Library staff and other stakeholders/allies can use data</w:t>
            </w:r>
            <w:r w:rsidR="004147A3" w:rsidRPr="00A066BF">
              <w:t xml:space="preserve"> </w:t>
            </w:r>
            <w:r w:rsidRPr="00A066BF">
              <w:t>about the impact of library broadband access</w:t>
            </w:r>
            <w:r w:rsidR="004147A3" w:rsidRPr="00A066BF">
              <w:t xml:space="preserve"> </w:t>
            </w:r>
            <w:r w:rsidRPr="00A066BF">
              <w:t>to advocate for policies or guidelines that</w:t>
            </w:r>
            <w:r w:rsidR="004147A3" w:rsidRPr="00A066BF">
              <w:t xml:space="preserve"> </w:t>
            </w:r>
            <w:r w:rsidRPr="00A066BF">
              <w:t>determine how often technology should be</w:t>
            </w:r>
            <w:r w:rsidR="004147A3" w:rsidRPr="00A066BF">
              <w:t xml:space="preserve"> </w:t>
            </w:r>
            <w:r w:rsidRPr="00A066BF">
              <w:t>replaced, ensure that users have sufficient</w:t>
            </w:r>
            <w:r w:rsidR="004147A3" w:rsidRPr="00A066BF">
              <w:t xml:space="preserve"> </w:t>
            </w:r>
            <w:r w:rsidRPr="00A066BF">
              <w:t>access, and/or require Wi-Fi capabilities,</w:t>
            </w:r>
            <w:r w:rsidR="004147A3" w:rsidRPr="00A066BF">
              <w:t xml:space="preserve"> </w:t>
            </w:r>
            <w:r w:rsidRPr="00A066BF">
              <w:t>which would increase the number of people</w:t>
            </w:r>
            <w:r w:rsidR="004147A3" w:rsidRPr="00A066BF">
              <w:t xml:space="preserve"> </w:t>
            </w:r>
            <w:r w:rsidRPr="00A066BF">
              <w:t>benefiting from library services.</w:t>
            </w:r>
          </w:p>
        </w:tc>
      </w:tr>
    </w:tbl>
    <w:p w14:paraId="15C1B846" w14:textId="77777777" w:rsidR="005724B1" w:rsidRDefault="005724B1" w:rsidP="00A066BF">
      <w:pPr>
        <w:spacing w:after="60" w:line="240" w:lineRule="auto"/>
        <w:rPr>
          <w:b/>
        </w:rPr>
      </w:pPr>
    </w:p>
    <w:p w14:paraId="10A548C9" w14:textId="66FC0790" w:rsidR="002972A8" w:rsidRDefault="002972A8" w:rsidP="002972A8">
      <w:pPr>
        <w:spacing w:after="60" w:line="240" w:lineRule="auto"/>
        <w:rPr>
          <w:rFonts w:asciiTheme="majorHAnsi" w:hAnsiTheme="majorHAnsi"/>
          <w:b/>
          <w:bCs/>
          <w:color w:val="4F81BD" w:themeColor="accent1"/>
        </w:rPr>
      </w:pPr>
      <w:r>
        <w:rPr>
          <w:rFonts w:asciiTheme="majorHAnsi" w:hAnsiTheme="majorHAnsi"/>
          <w:b/>
          <w:bCs/>
          <w:color w:val="4F81BD" w:themeColor="accent1"/>
        </w:rPr>
        <w:t>Appendices: Methodological Guidelines, Links, Case Studies, Resources, Survey Tools</w:t>
      </w:r>
      <w:r w:rsidRPr="002972A8">
        <w:rPr>
          <w:rFonts w:asciiTheme="majorHAnsi" w:hAnsiTheme="majorHAnsi"/>
          <w:b/>
          <w:bCs/>
          <w:color w:val="4F81BD" w:themeColor="accent1"/>
        </w:rPr>
        <w:t xml:space="preserve"> </w:t>
      </w:r>
    </w:p>
    <w:p w14:paraId="236E895E" w14:textId="77777777" w:rsidR="00AE2CA0" w:rsidRPr="002972A8" w:rsidRDefault="00AE2CA0" w:rsidP="002972A8">
      <w:pPr>
        <w:spacing w:after="60" w:line="240" w:lineRule="auto"/>
        <w:rPr>
          <w:rFonts w:asciiTheme="majorHAnsi" w:hAnsiTheme="majorHAnsi"/>
          <w:b/>
          <w:bCs/>
          <w:color w:val="4F81BD" w:themeColor="accent1"/>
        </w:rPr>
      </w:pPr>
    </w:p>
    <w:p w14:paraId="5C7C78CD" w14:textId="77777777" w:rsidR="00AE2CA0" w:rsidRDefault="00AE2CA0" w:rsidP="00AE2CA0">
      <w:pPr>
        <w:spacing w:after="0" w:line="240" w:lineRule="auto"/>
      </w:pPr>
      <w:r>
        <w:t xml:space="preserve">By visiting www.publiclibraryimpact.org, you can find additional materials, including: </w:t>
      </w:r>
    </w:p>
    <w:p w14:paraId="72E5019F" w14:textId="2E332D76" w:rsidR="00AE2CA0" w:rsidRDefault="00AE2CA0" w:rsidP="00AE2CA0">
      <w:pPr>
        <w:spacing w:after="0" w:line="240" w:lineRule="auto"/>
      </w:pPr>
      <w:r>
        <w:t xml:space="preserve"> </w:t>
      </w:r>
    </w:p>
    <w:p w14:paraId="73C0D2C1" w14:textId="644B7000" w:rsidR="00AE2CA0" w:rsidRDefault="00AE2CA0" w:rsidP="00AE2CA0">
      <w:pPr>
        <w:pStyle w:val="ListParagraph"/>
        <w:numPr>
          <w:ilvl w:val="0"/>
          <w:numId w:val="46"/>
        </w:numPr>
        <w:spacing w:after="0" w:line="240" w:lineRule="auto"/>
      </w:pPr>
      <w:r>
        <w:t>S</w:t>
      </w:r>
      <w:r w:rsidR="000B69B3" w:rsidRPr="002972A8">
        <w:t>uccess stories</w:t>
      </w:r>
      <w:r w:rsidR="002972A8">
        <w:t xml:space="preserve"> describing how public libraries around the world have begun measuring user outcomes and positive results, such as more potent advocacy or increased community impact.</w:t>
      </w:r>
      <w:r w:rsidR="002D1FE6" w:rsidRPr="002972A8">
        <w:t xml:space="preserve"> </w:t>
      </w:r>
      <w:r w:rsidR="002972A8" w:rsidRPr="002972A8">
        <w:t xml:space="preserve"> </w:t>
      </w:r>
    </w:p>
    <w:p w14:paraId="2A439DE9" w14:textId="3D14942E" w:rsidR="002972A8" w:rsidRDefault="002972A8" w:rsidP="00AE2CA0">
      <w:pPr>
        <w:pStyle w:val="ListParagraph"/>
        <w:numPr>
          <w:ilvl w:val="0"/>
          <w:numId w:val="46"/>
        </w:numPr>
        <w:spacing w:after="0" w:line="240" w:lineRule="auto"/>
      </w:pPr>
      <w:r w:rsidRPr="00AE2CA0">
        <w:t>Methodological Guidelines</w:t>
      </w:r>
      <w:r w:rsidR="00AE2CA0">
        <w:t xml:space="preserve"> for measuring impact</w:t>
      </w:r>
    </w:p>
    <w:p w14:paraId="124BB1B8" w14:textId="00373BC9" w:rsidR="002972A8" w:rsidRDefault="002972A8" w:rsidP="002348EE">
      <w:pPr>
        <w:pStyle w:val="ListParagraph"/>
        <w:numPr>
          <w:ilvl w:val="0"/>
          <w:numId w:val="45"/>
        </w:numPr>
        <w:spacing w:after="0" w:line="240" w:lineRule="auto"/>
      </w:pPr>
      <w:r w:rsidRPr="00AE2CA0">
        <w:t>Sample User Outcome Survey for Public Libraries</w:t>
      </w:r>
    </w:p>
    <w:p w14:paraId="333C5793" w14:textId="28E85FA4" w:rsidR="002348EE" w:rsidRPr="002972A8" w:rsidRDefault="00AE2CA0" w:rsidP="002348EE">
      <w:pPr>
        <w:pStyle w:val="ListParagraph"/>
        <w:numPr>
          <w:ilvl w:val="0"/>
          <w:numId w:val="45"/>
        </w:numPr>
        <w:spacing w:after="0" w:line="240" w:lineRule="auto"/>
      </w:pPr>
      <w:r>
        <w:t>Tools, Resources and</w:t>
      </w:r>
      <w:r w:rsidR="002972A8" w:rsidRPr="00AE2CA0">
        <w:t xml:space="preserve"> Links</w:t>
      </w:r>
      <w:r>
        <w:t xml:space="preserve"> to help you learn more</w:t>
      </w:r>
      <w:bookmarkStart w:id="0" w:name="_GoBack"/>
      <w:bookmarkEnd w:id="0"/>
      <w:r>
        <w:t xml:space="preserve"> </w:t>
      </w:r>
      <w:r w:rsidR="002348EE" w:rsidRPr="002972A8">
        <w:t xml:space="preserve"> </w:t>
      </w:r>
    </w:p>
    <w:sectPr w:rsidR="002348EE" w:rsidRPr="002972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9FBC7" w14:textId="77777777" w:rsidR="00BB6229" w:rsidRDefault="00BB6229" w:rsidP="00185D7D">
      <w:pPr>
        <w:spacing w:after="0" w:line="240" w:lineRule="auto"/>
      </w:pPr>
      <w:r>
        <w:separator/>
      </w:r>
    </w:p>
  </w:endnote>
  <w:endnote w:type="continuationSeparator" w:id="0">
    <w:p w14:paraId="324C3C0F" w14:textId="77777777" w:rsidR="00BB6229" w:rsidRDefault="00BB6229" w:rsidP="0018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DA5BD" w14:textId="77777777" w:rsidR="00BB6229" w:rsidRDefault="00BB6229" w:rsidP="00185D7D">
      <w:pPr>
        <w:spacing w:after="0" w:line="240" w:lineRule="auto"/>
      </w:pPr>
      <w:r>
        <w:separator/>
      </w:r>
    </w:p>
  </w:footnote>
  <w:footnote w:type="continuationSeparator" w:id="0">
    <w:p w14:paraId="0BC0BCD9" w14:textId="77777777" w:rsidR="00BB6229" w:rsidRDefault="00BB6229" w:rsidP="00185D7D">
      <w:pPr>
        <w:spacing w:after="0" w:line="240" w:lineRule="auto"/>
      </w:pPr>
      <w:r>
        <w:continuationSeparator/>
      </w:r>
    </w:p>
  </w:footnote>
  <w:footnote w:id="1">
    <w:p w14:paraId="4BC6A31D" w14:textId="4917FBCA" w:rsidR="00C84384" w:rsidRDefault="00C84384">
      <w:pPr>
        <w:pStyle w:val="FootnoteText"/>
      </w:pPr>
      <w:r>
        <w:rPr>
          <w:rStyle w:val="FootnoteReference"/>
        </w:rPr>
        <w:footnoteRef/>
      </w:r>
      <w:r>
        <w:t xml:space="preserve"> This is an example framework for the types of issue areas public libraries may affect.  Other ways that libraries might frame their impact could include: job skills, lifelong learning, civic/community engagement, summer reading, agriculture, government and legal services, management of finances, social connections, human services, public access to information, capacity building, and/or other areas.</w:t>
      </w:r>
    </w:p>
  </w:footnote>
  <w:footnote w:id="2">
    <w:p w14:paraId="76DBDB29" w14:textId="2FA1B464" w:rsidR="00185D7D" w:rsidRDefault="00185D7D">
      <w:pPr>
        <w:pStyle w:val="FootnoteText"/>
      </w:pPr>
      <w:r>
        <w:rPr>
          <w:rStyle w:val="FootnoteReference"/>
        </w:rPr>
        <w:footnoteRef/>
      </w:r>
      <w:r>
        <w:t xml:space="preserve"> Note that there are free and low cost tools available to help libraries measure impact.  </w:t>
      </w:r>
      <w:r w:rsidR="00AE2CA0">
        <w:t xml:space="preserve">Visit </w:t>
      </w:r>
      <w:hyperlink r:id="rId1" w:history="1">
        <w:r w:rsidR="00AE2CA0" w:rsidRPr="004E5B48">
          <w:rPr>
            <w:rStyle w:val="Hyperlink"/>
          </w:rPr>
          <w:t>www.publiclibraryadvocacy.org</w:t>
        </w:r>
      </w:hyperlink>
      <w:r w:rsidR="00AE2CA0">
        <w:t xml:space="preserve"> </w:t>
      </w:r>
      <w:r>
        <w:t xml:space="preserve">for more information.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858"/>
    <w:multiLevelType w:val="hybridMultilevel"/>
    <w:tmpl w:val="421A491C"/>
    <w:lvl w:ilvl="0" w:tplc="13B8ED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435E6"/>
    <w:multiLevelType w:val="hybridMultilevel"/>
    <w:tmpl w:val="E21A89DE"/>
    <w:lvl w:ilvl="0" w:tplc="CFC8D3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77BCC"/>
    <w:multiLevelType w:val="hybridMultilevel"/>
    <w:tmpl w:val="34089906"/>
    <w:lvl w:ilvl="0" w:tplc="C5D4E64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E511A"/>
    <w:multiLevelType w:val="hybridMultilevel"/>
    <w:tmpl w:val="3708A02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0FA726A5"/>
    <w:multiLevelType w:val="hybridMultilevel"/>
    <w:tmpl w:val="82E60FF0"/>
    <w:lvl w:ilvl="0" w:tplc="CFC8D3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6656C"/>
    <w:multiLevelType w:val="hybridMultilevel"/>
    <w:tmpl w:val="3CC0F1C2"/>
    <w:lvl w:ilvl="0" w:tplc="9D02EA2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B48BA"/>
    <w:multiLevelType w:val="hybridMultilevel"/>
    <w:tmpl w:val="883E288E"/>
    <w:lvl w:ilvl="0" w:tplc="C3E6FA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CD3029"/>
    <w:multiLevelType w:val="hybridMultilevel"/>
    <w:tmpl w:val="93E0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2205C"/>
    <w:multiLevelType w:val="hybridMultilevel"/>
    <w:tmpl w:val="2E3E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A60AF"/>
    <w:multiLevelType w:val="hybridMultilevel"/>
    <w:tmpl w:val="ED0A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0524C"/>
    <w:multiLevelType w:val="hybridMultilevel"/>
    <w:tmpl w:val="DBB8E420"/>
    <w:lvl w:ilvl="0" w:tplc="199820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1F0808"/>
    <w:multiLevelType w:val="hybridMultilevel"/>
    <w:tmpl w:val="968AD700"/>
    <w:lvl w:ilvl="0" w:tplc="57BA0146">
      <w:start w:val="9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932D68"/>
    <w:multiLevelType w:val="hybridMultilevel"/>
    <w:tmpl w:val="66AE9916"/>
    <w:lvl w:ilvl="0" w:tplc="CFC8D3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E7E5E"/>
    <w:multiLevelType w:val="hybridMultilevel"/>
    <w:tmpl w:val="86A26AD8"/>
    <w:lvl w:ilvl="0" w:tplc="87FC751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9256F9"/>
    <w:multiLevelType w:val="hybridMultilevel"/>
    <w:tmpl w:val="D00C1510"/>
    <w:lvl w:ilvl="0" w:tplc="865CE8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450356"/>
    <w:multiLevelType w:val="hybridMultilevel"/>
    <w:tmpl w:val="4F2A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17320"/>
    <w:multiLevelType w:val="hybridMultilevel"/>
    <w:tmpl w:val="E836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5CC5"/>
    <w:multiLevelType w:val="hybridMultilevel"/>
    <w:tmpl w:val="915E368E"/>
    <w:lvl w:ilvl="0" w:tplc="004006C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2510A6"/>
    <w:multiLevelType w:val="hybridMultilevel"/>
    <w:tmpl w:val="EC320126"/>
    <w:lvl w:ilvl="0" w:tplc="CFC8D3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A7DD9"/>
    <w:multiLevelType w:val="hybridMultilevel"/>
    <w:tmpl w:val="FB0A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E7CE6"/>
    <w:multiLevelType w:val="hybridMultilevel"/>
    <w:tmpl w:val="A06C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07A40"/>
    <w:multiLevelType w:val="hybridMultilevel"/>
    <w:tmpl w:val="90EC3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AB2615"/>
    <w:multiLevelType w:val="hybridMultilevel"/>
    <w:tmpl w:val="46CA2666"/>
    <w:lvl w:ilvl="0" w:tplc="2886F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67310A"/>
    <w:multiLevelType w:val="hybridMultilevel"/>
    <w:tmpl w:val="0DF8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712BA4"/>
    <w:multiLevelType w:val="hybridMultilevel"/>
    <w:tmpl w:val="78F6157C"/>
    <w:lvl w:ilvl="0" w:tplc="9C12E72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AC45C2"/>
    <w:multiLevelType w:val="hybridMultilevel"/>
    <w:tmpl w:val="EE60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E586D"/>
    <w:multiLevelType w:val="hybridMultilevel"/>
    <w:tmpl w:val="47E80EEE"/>
    <w:lvl w:ilvl="0" w:tplc="0B4EF1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C7384"/>
    <w:multiLevelType w:val="hybridMultilevel"/>
    <w:tmpl w:val="F4B69BDA"/>
    <w:lvl w:ilvl="0" w:tplc="678831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202C23"/>
    <w:multiLevelType w:val="hybridMultilevel"/>
    <w:tmpl w:val="DF24FD1C"/>
    <w:lvl w:ilvl="0" w:tplc="CFC8D3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D7EEE"/>
    <w:multiLevelType w:val="hybridMultilevel"/>
    <w:tmpl w:val="202EF786"/>
    <w:lvl w:ilvl="0" w:tplc="4004553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6E1EA3"/>
    <w:multiLevelType w:val="hybridMultilevel"/>
    <w:tmpl w:val="09DC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70A83"/>
    <w:multiLevelType w:val="hybridMultilevel"/>
    <w:tmpl w:val="2F36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631100"/>
    <w:multiLevelType w:val="hybridMultilevel"/>
    <w:tmpl w:val="B754B5AE"/>
    <w:lvl w:ilvl="0" w:tplc="2886F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DA6CE0"/>
    <w:multiLevelType w:val="hybridMultilevel"/>
    <w:tmpl w:val="3D00960C"/>
    <w:lvl w:ilvl="0" w:tplc="3FFAC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DF77B9"/>
    <w:multiLevelType w:val="hybridMultilevel"/>
    <w:tmpl w:val="6E3AFE7E"/>
    <w:lvl w:ilvl="0" w:tplc="65A4C8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4C2535"/>
    <w:multiLevelType w:val="hybridMultilevel"/>
    <w:tmpl w:val="09125F30"/>
    <w:lvl w:ilvl="0" w:tplc="7070042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526213"/>
    <w:multiLevelType w:val="hybridMultilevel"/>
    <w:tmpl w:val="0FEC4786"/>
    <w:lvl w:ilvl="0" w:tplc="27A4106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2A4998"/>
    <w:multiLevelType w:val="hybridMultilevel"/>
    <w:tmpl w:val="432EC5C0"/>
    <w:lvl w:ilvl="0" w:tplc="79DC4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02BCF"/>
    <w:multiLevelType w:val="hybridMultilevel"/>
    <w:tmpl w:val="0540AE68"/>
    <w:lvl w:ilvl="0" w:tplc="C5D4E64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5D351F"/>
    <w:multiLevelType w:val="hybridMultilevel"/>
    <w:tmpl w:val="72F0EDC4"/>
    <w:lvl w:ilvl="0" w:tplc="FFA4E362">
      <w:start w:val="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72783C"/>
    <w:multiLevelType w:val="hybridMultilevel"/>
    <w:tmpl w:val="E8E09850"/>
    <w:lvl w:ilvl="0" w:tplc="8702CCC2">
      <w:start w:val="1"/>
      <w:numFmt w:val="decimal"/>
      <w:lvlText w:val="%1."/>
      <w:lvlJc w:val="left"/>
      <w:pPr>
        <w:ind w:left="720" w:hanging="360"/>
      </w:pPr>
      <w:rPr>
        <w:rFonts w:hint="default"/>
      </w:rPr>
    </w:lvl>
    <w:lvl w:ilvl="1" w:tplc="DA76978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D22F67"/>
    <w:multiLevelType w:val="hybridMultilevel"/>
    <w:tmpl w:val="83B6568C"/>
    <w:lvl w:ilvl="0" w:tplc="6186DFD8">
      <w:start w:val="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54054D"/>
    <w:multiLevelType w:val="hybridMultilevel"/>
    <w:tmpl w:val="3A1809CE"/>
    <w:lvl w:ilvl="0" w:tplc="801C4C98">
      <w:start w:val="22"/>
      <w:numFmt w:val="decimal"/>
      <w:lvlText w:val="%1."/>
      <w:lvlJc w:val="left"/>
      <w:pPr>
        <w:tabs>
          <w:tab w:val="num" w:pos="720"/>
        </w:tabs>
        <w:ind w:left="720" w:hanging="360"/>
      </w:pPr>
    </w:lvl>
    <w:lvl w:ilvl="1" w:tplc="B776C3FE" w:tentative="1">
      <w:start w:val="1"/>
      <w:numFmt w:val="decimal"/>
      <w:lvlText w:val="%2."/>
      <w:lvlJc w:val="left"/>
      <w:pPr>
        <w:tabs>
          <w:tab w:val="num" w:pos="1440"/>
        </w:tabs>
        <w:ind w:left="1440" w:hanging="360"/>
      </w:pPr>
    </w:lvl>
    <w:lvl w:ilvl="2" w:tplc="8E5CD136" w:tentative="1">
      <w:start w:val="1"/>
      <w:numFmt w:val="decimal"/>
      <w:lvlText w:val="%3."/>
      <w:lvlJc w:val="left"/>
      <w:pPr>
        <w:tabs>
          <w:tab w:val="num" w:pos="2160"/>
        </w:tabs>
        <w:ind w:left="2160" w:hanging="360"/>
      </w:pPr>
    </w:lvl>
    <w:lvl w:ilvl="3" w:tplc="BB4614F8" w:tentative="1">
      <w:start w:val="1"/>
      <w:numFmt w:val="decimal"/>
      <w:lvlText w:val="%4."/>
      <w:lvlJc w:val="left"/>
      <w:pPr>
        <w:tabs>
          <w:tab w:val="num" w:pos="2880"/>
        </w:tabs>
        <w:ind w:left="2880" w:hanging="360"/>
      </w:pPr>
    </w:lvl>
    <w:lvl w:ilvl="4" w:tplc="BA1AEFF2" w:tentative="1">
      <w:start w:val="1"/>
      <w:numFmt w:val="decimal"/>
      <w:lvlText w:val="%5."/>
      <w:lvlJc w:val="left"/>
      <w:pPr>
        <w:tabs>
          <w:tab w:val="num" w:pos="3600"/>
        </w:tabs>
        <w:ind w:left="3600" w:hanging="360"/>
      </w:pPr>
    </w:lvl>
    <w:lvl w:ilvl="5" w:tplc="CDC229B8" w:tentative="1">
      <w:start w:val="1"/>
      <w:numFmt w:val="decimal"/>
      <w:lvlText w:val="%6."/>
      <w:lvlJc w:val="left"/>
      <w:pPr>
        <w:tabs>
          <w:tab w:val="num" w:pos="4320"/>
        </w:tabs>
        <w:ind w:left="4320" w:hanging="360"/>
      </w:pPr>
    </w:lvl>
    <w:lvl w:ilvl="6" w:tplc="DB7A85F0" w:tentative="1">
      <w:start w:val="1"/>
      <w:numFmt w:val="decimal"/>
      <w:lvlText w:val="%7."/>
      <w:lvlJc w:val="left"/>
      <w:pPr>
        <w:tabs>
          <w:tab w:val="num" w:pos="5040"/>
        </w:tabs>
        <w:ind w:left="5040" w:hanging="360"/>
      </w:pPr>
    </w:lvl>
    <w:lvl w:ilvl="7" w:tplc="C554AF08" w:tentative="1">
      <w:start w:val="1"/>
      <w:numFmt w:val="decimal"/>
      <w:lvlText w:val="%8."/>
      <w:lvlJc w:val="left"/>
      <w:pPr>
        <w:tabs>
          <w:tab w:val="num" w:pos="5760"/>
        </w:tabs>
        <w:ind w:left="5760" w:hanging="360"/>
      </w:pPr>
    </w:lvl>
    <w:lvl w:ilvl="8" w:tplc="4D04F426" w:tentative="1">
      <w:start w:val="1"/>
      <w:numFmt w:val="decimal"/>
      <w:lvlText w:val="%9."/>
      <w:lvlJc w:val="left"/>
      <w:pPr>
        <w:tabs>
          <w:tab w:val="num" w:pos="6480"/>
        </w:tabs>
        <w:ind w:left="6480" w:hanging="360"/>
      </w:pPr>
    </w:lvl>
  </w:abstractNum>
  <w:abstractNum w:abstractNumId="43">
    <w:nsid w:val="77606114"/>
    <w:multiLevelType w:val="hybridMultilevel"/>
    <w:tmpl w:val="34D2E5E6"/>
    <w:lvl w:ilvl="0" w:tplc="9280D722">
      <w:start w:val="9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EC3A9C"/>
    <w:multiLevelType w:val="hybridMultilevel"/>
    <w:tmpl w:val="02F6DD36"/>
    <w:lvl w:ilvl="0" w:tplc="CFC8D3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5340B3"/>
    <w:multiLevelType w:val="hybridMultilevel"/>
    <w:tmpl w:val="3D40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4"/>
  </w:num>
  <w:num w:numId="4">
    <w:abstractNumId w:val="12"/>
  </w:num>
  <w:num w:numId="5">
    <w:abstractNumId w:val="1"/>
  </w:num>
  <w:num w:numId="6">
    <w:abstractNumId w:val="28"/>
  </w:num>
  <w:num w:numId="7">
    <w:abstractNumId w:val="18"/>
  </w:num>
  <w:num w:numId="8">
    <w:abstractNumId w:val="30"/>
  </w:num>
  <w:num w:numId="9">
    <w:abstractNumId w:val="15"/>
  </w:num>
  <w:num w:numId="10">
    <w:abstractNumId w:val="7"/>
  </w:num>
  <w:num w:numId="11">
    <w:abstractNumId w:val="16"/>
  </w:num>
  <w:num w:numId="12">
    <w:abstractNumId w:val="20"/>
  </w:num>
  <w:num w:numId="13">
    <w:abstractNumId w:val="3"/>
  </w:num>
  <w:num w:numId="14">
    <w:abstractNumId w:val="8"/>
  </w:num>
  <w:num w:numId="15">
    <w:abstractNumId w:val="24"/>
  </w:num>
  <w:num w:numId="16">
    <w:abstractNumId w:val="37"/>
  </w:num>
  <w:num w:numId="17">
    <w:abstractNumId w:val="31"/>
  </w:num>
  <w:num w:numId="18">
    <w:abstractNumId w:val="39"/>
  </w:num>
  <w:num w:numId="19">
    <w:abstractNumId w:val="27"/>
  </w:num>
  <w:num w:numId="20">
    <w:abstractNumId w:val="32"/>
  </w:num>
  <w:num w:numId="21">
    <w:abstractNumId w:val="22"/>
  </w:num>
  <w:num w:numId="22">
    <w:abstractNumId w:val="41"/>
  </w:num>
  <w:num w:numId="23">
    <w:abstractNumId w:val="40"/>
  </w:num>
  <w:num w:numId="24">
    <w:abstractNumId w:val="43"/>
  </w:num>
  <w:num w:numId="25">
    <w:abstractNumId w:val="5"/>
  </w:num>
  <w:num w:numId="26">
    <w:abstractNumId w:val="33"/>
  </w:num>
  <w:num w:numId="27">
    <w:abstractNumId w:val="13"/>
  </w:num>
  <w:num w:numId="28">
    <w:abstractNumId w:val="21"/>
  </w:num>
  <w:num w:numId="29">
    <w:abstractNumId w:val="11"/>
  </w:num>
  <w:num w:numId="30">
    <w:abstractNumId w:val="10"/>
  </w:num>
  <w:num w:numId="31">
    <w:abstractNumId w:val="36"/>
  </w:num>
  <w:num w:numId="32">
    <w:abstractNumId w:val="34"/>
  </w:num>
  <w:num w:numId="33">
    <w:abstractNumId w:val="29"/>
  </w:num>
  <w:num w:numId="34">
    <w:abstractNumId w:val="14"/>
  </w:num>
  <w:num w:numId="35">
    <w:abstractNumId w:val="17"/>
  </w:num>
  <w:num w:numId="36">
    <w:abstractNumId w:val="6"/>
  </w:num>
  <w:num w:numId="37">
    <w:abstractNumId w:val="2"/>
  </w:num>
  <w:num w:numId="38">
    <w:abstractNumId w:val="38"/>
  </w:num>
  <w:num w:numId="39">
    <w:abstractNumId w:val="0"/>
  </w:num>
  <w:num w:numId="40">
    <w:abstractNumId w:val="35"/>
  </w:num>
  <w:num w:numId="41">
    <w:abstractNumId w:val="26"/>
  </w:num>
  <w:num w:numId="42">
    <w:abstractNumId w:val="25"/>
  </w:num>
  <w:num w:numId="43">
    <w:abstractNumId w:val="19"/>
  </w:num>
  <w:num w:numId="44">
    <w:abstractNumId w:val="42"/>
  </w:num>
  <w:num w:numId="45">
    <w:abstractNumId w:val="2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85"/>
    <w:rsid w:val="00007257"/>
    <w:rsid w:val="00045D3A"/>
    <w:rsid w:val="00076433"/>
    <w:rsid w:val="00084CE5"/>
    <w:rsid w:val="00095D07"/>
    <w:rsid w:val="000967DB"/>
    <w:rsid w:val="00097F0C"/>
    <w:rsid w:val="000B69B3"/>
    <w:rsid w:val="000C066A"/>
    <w:rsid w:val="000D1B6C"/>
    <w:rsid w:val="000E2CBC"/>
    <w:rsid w:val="000E7D0A"/>
    <w:rsid w:val="00105B27"/>
    <w:rsid w:val="00106B51"/>
    <w:rsid w:val="0014014E"/>
    <w:rsid w:val="00141CD5"/>
    <w:rsid w:val="001536F0"/>
    <w:rsid w:val="00162FDE"/>
    <w:rsid w:val="00166AAD"/>
    <w:rsid w:val="00185D7D"/>
    <w:rsid w:val="001A5274"/>
    <w:rsid w:val="001B775E"/>
    <w:rsid w:val="001C72D4"/>
    <w:rsid w:val="001D1A03"/>
    <w:rsid w:val="001D51B3"/>
    <w:rsid w:val="001D670A"/>
    <w:rsid w:val="001E13FE"/>
    <w:rsid w:val="001F3BD5"/>
    <w:rsid w:val="00204306"/>
    <w:rsid w:val="00211099"/>
    <w:rsid w:val="00215123"/>
    <w:rsid w:val="00216663"/>
    <w:rsid w:val="00233482"/>
    <w:rsid w:val="00233E33"/>
    <w:rsid w:val="002348EE"/>
    <w:rsid w:val="0025445B"/>
    <w:rsid w:val="00256DBB"/>
    <w:rsid w:val="00273187"/>
    <w:rsid w:val="002972A8"/>
    <w:rsid w:val="002C2372"/>
    <w:rsid w:val="002D1FE6"/>
    <w:rsid w:val="002E17A3"/>
    <w:rsid w:val="002F1770"/>
    <w:rsid w:val="002F1A48"/>
    <w:rsid w:val="002F2114"/>
    <w:rsid w:val="002F735E"/>
    <w:rsid w:val="00302D37"/>
    <w:rsid w:val="00324087"/>
    <w:rsid w:val="003267EC"/>
    <w:rsid w:val="00340EE5"/>
    <w:rsid w:val="0036283F"/>
    <w:rsid w:val="00367B7C"/>
    <w:rsid w:val="003874FE"/>
    <w:rsid w:val="003A63DC"/>
    <w:rsid w:val="003C0C9A"/>
    <w:rsid w:val="003D4FF4"/>
    <w:rsid w:val="003D5250"/>
    <w:rsid w:val="004147A3"/>
    <w:rsid w:val="00416BFA"/>
    <w:rsid w:val="0042487A"/>
    <w:rsid w:val="00425B0D"/>
    <w:rsid w:val="00427B5C"/>
    <w:rsid w:val="004333D9"/>
    <w:rsid w:val="0044320A"/>
    <w:rsid w:val="00447860"/>
    <w:rsid w:val="00476580"/>
    <w:rsid w:val="00476669"/>
    <w:rsid w:val="00476D7B"/>
    <w:rsid w:val="004907E6"/>
    <w:rsid w:val="0049434C"/>
    <w:rsid w:val="004A02B4"/>
    <w:rsid w:val="004A3A2D"/>
    <w:rsid w:val="004B5514"/>
    <w:rsid w:val="004D193A"/>
    <w:rsid w:val="004E397D"/>
    <w:rsid w:val="004F2781"/>
    <w:rsid w:val="005009CD"/>
    <w:rsid w:val="0050515C"/>
    <w:rsid w:val="00510F48"/>
    <w:rsid w:val="00531238"/>
    <w:rsid w:val="00533446"/>
    <w:rsid w:val="00543194"/>
    <w:rsid w:val="00547426"/>
    <w:rsid w:val="005724B1"/>
    <w:rsid w:val="00577218"/>
    <w:rsid w:val="00580076"/>
    <w:rsid w:val="00582E46"/>
    <w:rsid w:val="005E1D69"/>
    <w:rsid w:val="00602201"/>
    <w:rsid w:val="00602E35"/>
    <w:rsid w:val="00605B65"/>
    <w:rsid w:val="00611499"/>
    <w:rsid w:val="00614EFF"/>
    <w:rsid w:val="00643439"/>
    <w:rsid w:val="00650493"/>
    <w:rsid w:val="00653FFC"/>
    <w:rsid w:val="00681CA8"/>
    <w:rsid w:val="00691B71"/>
    <w:rsid w:val="006A3FDD"/>
    <w:rsid w:val="006A7B07"/>
    <w:rsid w:val="006B04A2"/>
    <w:rsid w:val="006B50D5"/>
    <w:rsid w:val="0070422A"/>
    <w:rsid w:val="007242AC"/>
    <w:rsid w:val="00724EA3"/>
    <w:rsid w:val="007256B0"/>
    <w:rsid w:val="00754416"/>
    <w:rsid w:val="0078469A"/>
    <w:rsid w:val="0079325A"/>
    <w:rsid w:val="007A6BAC"/>
    <w:rsid w:val="007A6D6C"/>
    <w:rsid w:val="007B046A"/>
    <w:rsid w:val="007B4DBD"/>
    <w:rsid w:val="007C1D9F"/>
    <w:rsid w:val="007D2266"/>
    <w:rsid w:val="007E1C89"/>
    <w:rsid w:val="008034FF"/>
    <w:rsid w:val="0082370C"/>
    <w:rsid w:val="008447E6"/>
    <w:rsid w:val="008604C0"/>
    <w:rsid w:val="00862B77"/>
    <w:rsid w:val="008A1187"/>
    <w:rsid w:val="008B27A1"/>
    <w:rsid w:val="008C5592"/>
    <w:rsid w:val="008C7588"/>
    <w:rsid w:val="009061A3"/>
    <w:rsid w:val="00916021"/>
    <w:rsid w:val="0092622F"/>
    <w:rsid w:val="00933D60"/>
    <w:rsid w:val="00941C06"/>
    <w:rsid w:val="00952ECA"/>
    <w:rsid w:val="009577DD"/>
    <w:rsid w:val="009646A5"/>
    <w:rsid w:val="00974ECB"/>
    <w:rsid w:val="009774BF"/>
    <w:rsid w:val="00985F08"/>
    <w:rsid w:val="00991589"/>
    <w:rsid w:val="009A2F89"/>
    <w:rsid w:val="009C1B65"/>
    <w:rsid w:val="009F2DEF"/>
    <w:rsid w:val="009F7A2A"/>
    <w:rsid w:val="00A04013"/>
    <w:rsid w:val="00A066BF"/>
    <w:rsid w:val="00A109CD"/>
    <w:rsid w:val="00A110F5"/>
    <w:rsid w:val="00A14BE4"/>
    <w:rsid w:val="00A173EE"/>
    <w:rsid w:val="00A316C0"/>
    <w:rsid w:val="00A35253"/>
    <w:rsid w:val="00A45C63"/>
    <w:rsid w:val="00A46C18"/>
    <w:rsid w:val="00A53485"/>
    <w:rsid w:val="00A92DA6"/>
    <w:rsid w:val="00AA77AC"/>
    <w:rsid w:val="00AA797C"/>
    <w:rsid w:val="00AB0C81"/>
    <w:rsid w:val="00AB36E0"/>
    <w:rsid w:val="00AB7EAD"/>
    <w:rsid w:val="00AD493B"/>
    <w:rsid w:val="00AE2CA0"/>
    <w:rsid w:val="00B12619"/>
    <w:rsid w:val="00B17811"/>
    <w:rsid w:val="00B31308"/>
    <w:rsid w:val="00B321CD"/>
    <w:rsid w:val="00B328CC"/>
    <w:rsid w:val="00B33ED9"/>
    <w:rsid w:val="00B37979"/>
    <w:rsid w:val="00B466B0"/>
    <w:rsid w:val="00B75E5F"/>
    <w:rsid w:val="00B80482"/>
    <w:rsid w:val="00B970C7"/>
    <w:rsid w:val="00BA1B6C"/>
    <w:rsid w:val="00BB6229"/>
    <w:rsid w:val="00BC7C83"/>
    <w:rsid w:val="00BD1576"/>
    <w:rsid w:val="00BE7100"/>
    <w:rsid w:val="00BF1875"/>
    <w:rsid w:val="00BF2A99"/>
    <w:rsid w:val="00C05A67"/>
    <w:rsid w:val="00C201B9"/>
    <w:rsid w:val="00C251A4"/>
    <w:rsid w:val="00C4214C"/>
    <w:rsid w:val="00C45E1A"/>
    <w:rsid w:val="00C51C7D"/>
    <w:rsid w:val="00C5532E"/>
    <w:rsid w:val="00C55897"/>
    <w:rsid w:val="00C77B83"/>
    <w:rsid w:val="00C83DF5"/>
    <w:rsid w:val="00C84384"/>
    <w:rsid w:val="00C93530"/>
    <w:rsid w:val="00C935FF"/>
    <w:rsid w:val="00CB5BCE"/>
    <w:rsid w:val="00CC004C"/>
    <w:rsid w:val="00CD0A20"/>
    <w:rsid w:val="00CD3001"/>
    <w:rsid w:val="00CF180A"/>
    <w:rsid w:val="00CF6B1C"/>
    <w:rsid w:val="00CF6B2C"/>
    <w:rsid w:val="00D036E9"/>
    <w:rsid w:val="00D34635"/>
    <w:rsid w:val="00D36C68"/>
    <w:rsid w:val="00D42B59"/>
    <w:rsid w:val="00D47BBD"/>
    <w:rsid w:val="00D60FE9"/>
    <w:rsid w:val="00DA58A8"/>
    <w:rsid w:val="00DA7AE9"/>
    <w:rsid w:val="00DC3DC4"/>
    <w:rsid w:val="00DF4F17"/>
    <w:rsid w:val="00E0429E"/>
    <w:rsid w:val="00E1218E"/>
    <w:rsid w:val="00E272D3"/>
    <w:rsid w:val="00E30229"/>
    <w:rsid w:val="00E62335"/>
    <w:rsid w:val="00E75D98"/>
    <w:rsid w:val="00E87A1D"/>
    <w:rsid w:val="00EA430A"/>
    <w:rsid w:val="00ED2AF0"/>
    <w:rsid w:val="00EE0DAD"/>
    <w:rsid w:val="00EE12EA"/>
    <w:rsid w:val="00EE195C"/>
    <w:rsid w:val="00EF2E73"/>
    <w:rsid w:val="00EF479B"/>
    <w:rsid w:val="00F13650"/>
    <w:rsid w:val="00F15A5E"/>
    <w:rsid w:val="00F275E8"/>
    <w:rsid w:val="00F50A3D"/>
    <w:rsid w:val="00F5445E"/>
    <w:rsid w:val="00F7094A"/>
    <w:rsid w:val="00F80510"/>
    <w:rsid w:val="00FB6E61"/>
    <w:rsid w:val="00FC2E97"/>
    <w:rsid w:val="00FC3868"/>
    <w:rsid w:val="00FC7E7B"/>
    <w:rsid w:val="00FD2273"/>
    <w:rsid w:val="00FD55B3"/>
    <w:rsid w:val="00FE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D3A"/>
    <w:pPr>
      <w:ind w:left="720"/>
      <w:contextualSpacing/>
    </w:pPr>
  </w:style>
  <w:style w:type="paragraph" w:styleId="BalloonText">
    <w:name w:val="Balloon Text"/>
    <w:basedOn w:val="Normal"/>
    <w:link w:val="BalloonTextChar"/>
    <w:uiPriority w:val="99"/>
    <w:semiHidden/>
    <w:unhideWhenUsed/>
    <w:rsid w:val="00933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60"/>
    <w:rPr>
      <w:rFonts w:ascii="Tahoma" w:hAnsi="Tahoma" w:cs="Tahoma"/>
      <w:sz w:val="16"/>
      <w:szCs w:val="16"/>
    </w:rPr>
  </w:style>
  <w:style w:type="character" w:styleId="CommentReference">
    <w:name w:val="annotation reference"/>
    <w:basedOn w:val="DefaultParagraphFont"/>
    <w:uiPriority w:val="99"/>
    <w:semiHidden/>
    <w:unhideWhenUsed/>
    <w:rsid w:val="006A7B07"/>
    <w:rPr>
      <w:sz w:val="16"/>
      <w:szCs w:val="16"/>
    </w:rPr>
  </w:style>
  <w:style w:type="paragraph" w:styleId="CommentText">
    <w:name w:val="annotation text"/>
    <w:basedOn w:val="Normal"/>
    <w:link w:val="CommentTextChar"/>
    <w:uiPriority w:val="99"/>
    <w:semiHidden/>
    <w:unhideWhenUsed/>
    <w:rsid w:val="006A7B07"/>
    <w:pPr>
      <w:spacing w:line="240" w:lineRule="auto"/>
    </w:pPr>
    <w:rPr>
      <w:sz w:val="20"/>
      <w:szCs w:val="20"/>
    </w:rPr>
  </w:style>
  <w:style w:type="character" w:customStyle="1" w:styleId="CommentTextChar">
    <w:name w:val="Comment Text Char"/>
    <w:basedOn w:val="DefaultParagraphFont"/>
    <w:link w:val="CommentText"/>
    <w:uiPriority w:val="99"/>
    <w:semiHidden/>
    <w:rsid w:val="006A7B07"/>
    <w:rPr>
      <w:sz w:val="20"/>
      <w:szCs w:val="20"/>
    </w:rPr>
  </w:style>
  <w:style w:type="paragraph" w:styleId="CommentSubject">
    <w:name w:val="annotation subject"/>
    <w:basedOn w:val="CommentText"/>
    <w:next w:val="CommentText"/>
    <w:link w:val="CommentSubjectChar"/>
    <w:uiPriority w:val="99"/>
    <w:semiHidden/>
    <w:unhideWhenUsed/>
    <w:rsid w:val="006A7B07"/>
    <w:rPr>
      <w:b/>
      <w:bCs/>
    </w:rPr>
  </w:style>
  <w:style w:type="character" w:customStyle="1" w:styleId="CommentSubjectChar">
    <w:name w:val="Comment Subject Char"/>
    <w:basedOn w:val="CommentTextChar"/>
    <w:link w:val="CommentSubject"/>
    <w:uiPriority w:val="99"/>
    <w:semiHidden/>
    <w:rsid w:val="006A7B07"/>
    <w:rPr>
      <w:b/>
      <w:bCs/>
      <w:sz w:val="20"/>
      <w:szCs w:val="20"/>
    </w:rPr>
  </w:style>
  <w:style w:type="paragraph" w:styleId="Revision">
    <w:name w:val="Revision"/>
    <w:hidden/>
    <w:uiPriority w:val="99"/>
    <w:semiHidden/>
    <w:rsid w:val="006A7B07"/>
    <w:pPr>
      <w:spacing w:after="0" w:line="240" w:lineRule="auto"/>
    </w:pPr>
  </w:style>
  <w:style w:type="paragraph" w:styleId="NormalWeb">
    <w:name w:val="Normal (Web)"/>
    <w:basedOn w:val="Normal"/>
    <w:uiPriority w:val="99"/>
    <w:semiHidden/>
    <w:unhideWhenUsed/>
    <w:rsid w:val="00AA77A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3D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5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D7D"/>
    <w:rPr>
      <w:sz w:val="20"/>
      <w:szCs w:val="20"/>
    </w:rPr>
  </w:style>
  <w:style w:type="character" w:styleId="FootnoteReference">
    <w:name w:val="footnote reference"/>
    <w:basedOn w:val="DefaultParagraphFont"/>
    <w:uiPriority w:val="99"/>
    <w:semiHidden/>
    <w:unhideWhenUsed/>
    <w:rsid w:val="00185D7D"/>
    <w:rPr>
      <w:vertAlign w:val="superscript"/>
    </w:rPr>
  </w:style>
  <w:style w:type="character" w:styleId="Hyperlink">
    <w:name w:val="Hyperlink"/>
    <w:basedOn w:val="DefaultParagraphFont"/>
    <w:uiPriority w:val="99"/>
    <w:unhideWhenUsed/>
    <w:rsid w:val="002972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D3A"/>
    <w:pPr>
      <w:ind w:left="720"/>
      <w:contextualSpacing/>
    </w:pPr>
  </w:style>
  <w:style w:type="paragraph" w:styleId="BalloonText">
    <w:name w:val="Balloon Text"/>
    <w:basedOn w:val="Normal"/>
    <w:link w:val="BalloonTextChar"/>
    <w:uiPriority w:val="99"/>
    <w:semiHidden/>
    <w:unhideWhenUsed/>
    <w:rsid w:val="00933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60"/>
    <w:rPr>
      <w:rFonts w:ascii="Tahoma" w:hAnsi="Tahoma" w:cs="Tahoma"/>
      <w:sz w:val="16"/>
      <w:szCs w:val="16"/>
    </w:rPr>
  </w:style>
  <w:style w:type="character" w:styleId="CommentReference">
    <w:name w:val="annotation reference"/>
    <w:basedOn w:val="DefaultParagraphFont"/>
    <w:uiPriority w:val="99"/>
    <w:semiHidden/>
    <w:unhideWhenUsed/>
    <w:rsid w:val="006A7B07"/>
    <w:rPr>
      <w:sz w:val="16"/>
      <w:szCs w:val="16"/>
    </w:rPr>
  </w:style>
  <w:style w:type="paragraph" w:styleId="CommentText">
    <w:name w:val="annotation text"/>
    <w:basedOn w:val="Normal"/>
    <w:link w:val="CommentTextChar"/>
    <w:uiPriority w:val="99"/>
    <w:semiHidden/>
    <w:unhideWhenUsed/>
    <w:rsid w:val="006A7B07"/>
    <w:pPr>
      <w:spacing w:line="240" w:lineRule="auto"/>
    </w:pPr>
    <w:rPr>
      <w:sz w:val="20"/>
      <w:szCs w:val="20"/>
    </w:rPr>
  </w:style>
  <w:style w:type="character" w:customStyle="1" w:styleId="CommentTextChar">
    <w:name w:val="Comment Text Char"/>
    <w:basedOn w:val="DefaultParagraphFont"/>
    <w:link w:val="CommentText"/>
    <w:uiPriority w:val="99"/>
    <w:semiHidden/>
    <w:rsid w:val="006A7B07"/>
    <w:rPr>
      <w:sz w:val="20"/>
      <w:szCs w:val="20"/>
    </w:rPr>
  </w:style>
  <w:style w:type="paragraph" w:styleId="CommentSubject">
    <w:name w:val="annotation subject"/>
    <w:basedOn w:val="CommentText"/>
    <w:next w:val="CommentText"/>
    <w:link w:val="CommentSubjectChar"/>
    <w:uiPriority w:val="99"/>
    <w:semiHidden/>
    <w:unhideWhenUsed/>
    <w:rsid w:val="006A7B07"/>
    <w:rPr>
      <w:b/>
      <w:bCs/>
    </w:rPr>
  </w:style>
  <w:style w:type="character" w:customStyle="1" w:styleId="CommentSubjectChar">
    <w:name w:val="Comment Subject Char"/>
    <w:basedOn w:val="CommentTextChar"/>
    <w:link w:val="CommentSubject"/>
    <w:uiPriority w:val="99"/>
    <w:semiHidden/>
    <w:rsid w:val="006A7B07"/>
    <w:rPr>
      <w:b/>
      <w:bCs/>
      <w:sz w:val="20"/>
      <w:szCs w:val="20"/>
    </w:rPr>
  </w:style>
  <w:style w:type="paragraph" w:styleId="Revision">
    <w:name w:val="Revision"/>
    <w:hidden/>
    <w:uiPriority w:val="99"/>
    <w:semiHidden/>
    <w:rsid w:val="006A7B07"/>
    <w:pPr>
      <w:spacing w:after="0" w:line="240" w:lineRule="auto"/>
    </w:pPr>
  </w:style>
  <w:style w:type="paragraph" w:styleId="NormalWeb">
    <w:name w:val="Normal (Web)"/>
    <w:basedOn w:val="Normal"/>
    <w:uiPriority w:val="99"/>
    <w:semiHidden/>
    <w:unhideWhenUsed/>
    <w:rsid w:val="00AA77A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3D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5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D7D"/>
    <w:rPr>
      <w:sz w:val="20"/>
      <w:szCs w:val="20"/>
    </w:rPr>
  </w:style>
  <w:style w:type="character" w:styleId="FootnoteReference">
    <w:name w:val="footnote reference"/>
    <w:basedOn w:val="DefaultParagraphFont"/>
    <w:uiPriority w:val="99"/>
    <w:semiHidden/>
    <w:unhideWhenUsed/>
    <w:rsid w:val="00185D7D"/>
    <w:rPr>
      <w:vertAlign w:val="superscript"/>
    </w:rPr>
  </w:style>
  <w:style w:type="character" w:styleId="Hyperlink">
    <w:name w:val="Hyperlink"/>
    <w:basedOn w:val="DefaultParagraphFont"/>
    <w:uiPriority w:val="99"/>
    <w:unhideWhenUsed/>
    <w:rsid w:val="00297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1109">
      <w:bodyDiv w:val="1"/>
      <w:marLeft w:val="0"/>
      <w:marRight w:val="0"/>
      <w:marTop w:val="0"/>
      <w:marBottom w:val="0"/>
      <w:divBdr>
        <w:top w:val="none" w:sz="0" w:space="0" w:color="auto"/>
        <w:left w:val="none" w:sz="0" w:space="0" w:color="auto"/>
        <w:bottom w:val="none" w:sz="0" w:space="0" w:color="auto"/>
        <w:right w:val="none" w:sz="0" w:space="0" w:color="auto"/>
      </w:divBdr>
    </w:div>
    <w:div w:id="796993508">
      <w:bodyDiv w:val="1"/>
      <w:marLeft w:val="0"/>
      <w:marRight w:val="0"/>
      <w:marTop w:val="0"/>
      <w:marBottom w:val="0"/>
      <w:divBdr>
        <w:top w:val="none" w:sz="0" w:space="0" w:color="auto"/>
        <w:left w:val="none" w:sz="0" w:space="0" w:color="auto"/>
        <w:bottom w:val="none" w:sz="0" w:space="0" w:color="auto"/>
        <w:right w:val="none" w:sz="0" w:space="0" w:color="auto"/>
      </w:divBdr>
      <w:divsChild>
        <w:div w:id="1031690698">
          <w:marLeft w:val="446"/>
          <w:marRight w:val="0"/>
          <w:marTop w:val="60"/>
          <w:marBottom w:val="0"/>
          <w:divBdr>
            <w:top w:val="none" w:sz="0" w:space="0" w:color="auto"/>
            <w:left w:val="none" w:sz="0" w:space="0" w:color="auto"/>
            <w:bottom w:val="none" w:sz="0" w:space="0" w:color="auto"/>
            <w:right w:val="none" w:sz="0" w:space="0" w:color="auto"/>
          </w:divBdr>
        </w:div>
      </w:divsChild>
    </w:div>
    <w:div w:id="909848793">
      <w:bodyDiv w:val="1"/>
      <w:marLeft w:val="0"/>
      <w:marRight w:val="0"/>
      <w:marTop w:val="0"/>
      <w:marBottom w:val="0"/>
      <w:divBdr>
        <w:top w:val="none" w:sz="0" w:space="0" w:color="auto"/>
        <w:left w:val="none" w:sz="0" w:space="0" w:color="auto"/>
        <w:bottom w:val="none" w:sz="0" w:space="0" w:color="auto"/>
        <w:right w:val="none" w:sz="0" w:space="0" w:color="auto"/>
      </w:divBdr>
    </w:div>
    <w:div w:id="16943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ubliclibrary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2041-9F45-43CB-86BE-E5C6D70E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Errecart</dc:creator>
  <cp:lastModifiedBy>Fleishman-Hillard</cp:lastModifiedBy>
  <cp:revision>3</cp:revision>
  <dcterms:created xsi:type="dcterms:W3CDTF">2015-06-12T21:28:00Z</dcterms:created>
  <dcterms:modified xsi:type="dcterms:W3CDTF">2015-06-12T21:31:00Z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https://spaces.gatesfoundation.org</vt:lpwstr>
  </property>
  <property fmtid="{D5CDD505-2E9C-101B-9397-08002B2CF9AE}" pid="3" name="Jive_VersionGuid">
    <vt:lpwstr>90798ef6-9bc9-40d7-b29c-924feb89ac97</vt:lpwstr>
  </property>
  <property fmtid="{D5CDD505-2E9C-101B-9397-08002B2CF9AE}" pid="4" name="Offisync_UpdateToken">
    <vt:lpwstr>5</vt:lpwstr>
  </property>
  <property fmtid="{D5CDD505-2E9C-101B-9397-08002B2CF9AE}" pid="5" name="Jive_LatestUserAccountName">
    <vt:lpwstr>ashley.middleton@gmmb.com</vt:lpwstr>
  </property>
  <property fmtid="{D5CDD505-2E9C-101B-9397-08002B2CF9AE}" pid="6" name="Offisync_ServerID">
    <vt:lpwstr>896bf3f1-d804-43f3-a575-f5b251661da6</vt:lpwstr>
  </property>
  <property fmtid="{D5CDD505-2E9C-101B-9397-08002B2CF9AE}" pid="7" name="Offisync_UniqueId">
    <vt:lpwstr>6552</vt:lpwstr>
  </property>
</Properties>
</file>